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0175" w:type="dxa"/>
        <w:tblInd w:w="-252" w:type="dxa"/>
        <w:tblLayout w:type="fixed"/>
        <w:tblLook w:val="0000" w:firstRow="0" w:lastRow="0" w:firstColumn="0" w:lastColumn="0" w:noHBand="0" w:noVBand="0"/>
      </w:tblPr>
      <w:tblGrid>
        <w:gridCol w:w="778"/>
        <w:gridCol w:w="3261"/>
        <w:gridCol w:w="6136"/>
      </w:tblGrid>
      <w:tr w:rsidR="002F471A" w14:paraId="73D9993F" w14:textId="77777777" w:rsidTr="00BA6436">
        <w:trPr>
          <w:trHeight w:val="608"/>
        </w:trPr>
        <w:tc>
          <w:tcPr>
            <w:tcW w:w="4039" w:type="dxa"/>
            <w:gridSpan w:val="2"/>
          </w:tcPr>
          <w:p w14:paraId="16428A96" w14:textId="77777777" w:rsidR="002F471A" w:rsidRPr="00CE6EB3" w:rsidRDefault="002F471A" w:rsidP="00BA6436">
            <w:pPr>
              <w:jc w:val="center"/>
              <w:rPr>
                <w:b/>
                <w:bCs/>
              </w:rPr>
            </w:pPr>
            <w:r w:rsidRPr="00CE6EB3">
              <w:rPr>
                <w:b/>
                <w:bCs/>
              </w:rPr>
              <w:t xml:space="preserve">ỦY BAN NHÂN DÂN </w:t>
            </w:r>
          </w:p>
          <w:p w14:paraId="11CB5AFC" w14:textId="77777777" w:rsidR="002F471A" w:rsidRPr="00CE6EB3" w:rsidRDefault="002F471A" w:rsidP="00BA6436">
            <w:pPr>
              <w:jc w:val="center"/>
            </w:pPr>
            <w:r w:rsidRPr="00CE6EB3">
              <w:rPr>
                <w:b/>
                <w:bCs/>
              </w:rPr>
              <w:t>THÀNH PHỐ HỒ CHÍ MINH</w:t>
            </w:r>
            <w:r w:rsidRPr="00CE6EB3">
              <w:rPr>
                <w:b/>
                <w:bCs/>
                <w:noProof/>
              </w:rPr>
              <mc:AlternateContent>
                <mc:Choice Requires="wps">
                  <w:drawing>
                    <wp:anchor distT="0" distB="0" distL="114300" distR="114300" simplePos="0" relativeHeight="251672576" behindDoc="0" locked="0" layoutInCell="1" allowOverlap="1" wp14:anchorId="69D10F3C" wp14:editId="14427220">
                      <wp:simplePos x="0" y="0"/>
                      <wp:positionH relativeFrom="column">
                        <wp:posOffset>593945</wp:posOffset>
                      </wp:positionH>
                      <wp:positionV relativeFrom="paragraph">
                        <wp:posOffset>206789</wp:posOffset>
                      </wp:positionV>
                      <wp:extent cx="1311965" cy="12700"/>
                      <wp:effectExtent l="0" t="0" r="21590" b="25400"/>
                      <wp:wrapNone/>
                      <wp:docPr id="1" name="Straight Connector 1"/>
                      <wp:cNvGraphicFramePr/>
                      <a:graphic xmlns:a="http://schemas.openxmlformats.org/drawingml/2006/main">
                        <a:graphicData uri="http://schemas.microsoft.com/office/word/2010/wordprocessingShape">
                          <wps:wsp>
                            <wps:cNvCnPr/>
                            <wps:spPr>
                              <a:xfrm flipV="1">
                                <a:off x="0" y="0"/>
                                <a:ext cx="1311965" cy="1270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3D7EC0" id="Straight Connector 1"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46.75pt,16.3pt" to="150.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" strokecolor="black [3040]"/>
                  </w:pict>
                </mc:Fallback>
              </mc:AlternateContent>
            </w:r>
            <w:r>
              <w:rPr>
                <w:b/>
              </w:rPr>
              <w:t xml:space="preserve"> </w:t>
            </w:r>
          </w:p>
        </w:tc>
        <w:tc>
          <w:tcPr>
            <w:tcW w:w="6136" w:type="dxa"/>
          </w:tcPr>
          <w:p w14:paraId="416E3BC1" w14:textId="77777777" w:rsidR="002F471A" w:rsidRDefault="002F471A" w:rsidP="00BA6436">
            <w:pPr>
              <w:pStyle w:val="Heading1"/>
              <w:rPr>
                <w:rFonts w:ascii="Times New Roman" w:hAnsi="Times New Roman"/>
                <w:sz w:val="28"/>
                <w:szCs w:val="28"/>
              </w:rPr>
            </w:pPr>
            <w:r>
              <w:rPr>
                <w:rFonts w:ascii="Times New Roman" w:hAnsi="Times New Roman"/>
                <w:sz w:val="28"/>
                <w:szCs w:val="28"/>
              </w:rPr>
              <w:t>CỘNG HÒA XÃ HỘI CHỦ NGHĨA VIỆT NAM</w:t>
            </w:r>
          </w:p>
          <w:p w14:paraId="3CF73C85" w14:textId="77777777" w:rsidR="002F471A" w:rsidRDefault="002F471A" w:rsidP="00BA6436">
            <w:pPr>
              <w:keepNext/>
              <w:pBdr>
                <w:top w:val="nil"/>
                <w:left w:val="nil"/>
                <w:bottom w:val="nil"/>
                <w:right w:val="nil"/>
                <w:between w:val="nil"/>
              </w:pBdr>
              <w:jc w:val="center"/>
              <w:rPr>
                <w:b/>
                <w:color w:val="000000"/>
              </w:rPr>
            </w:pPr>
            <w:r>
              <w:rPr>
                <w:b/>
                <w:noProof/>
                <w:color w:val="000000"/>
              </w:rPr>
              <mc:AlternateContent>
                <mc:Choice Requires="wps">
                  <w:drawing>
                    <wp:anchor distT="0" distB="0" distL="114300" distR="114300" simplePos="0" relativeHeight="251673600" behindDoc="0" locked="0" layoutInCell="1" allowOverlap="1" wp14:anchorId="5420FCBB" wp14:editId="108C7A3D">
                      <wp:simplePos x="0" y="0"/>
                      <wp:positionH relativeFrom="column">
                        <wp:posOffset>863627</wp:posOffset>
                      </wp:positionH>
                      <wp:positionV relativeFrom="paragraph">
                        <wp:posOffset>236330</wp:posOffset>
                      </wp:positionV>
                      <wp:extent cx="201963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196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E35994" id="Straight Connector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8pt,18.6pt" to="227.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" strokecolor="black [3040]"/>
                  </w:pict>
                </mc:Fallback>
              </mc:AlternateContent>
            </w:r>
            <w:r>
              <w:rPr>
                <w:b/>
                <w:color w:val="000000"/>
              </w:rPr>
              <w:t xml:space="preserve">Độc lập - Tự do - Hạnh phúc                                                    </w:t>
            </w:r>
            <w:r>
              <w:rPr>
                <w:noProof/>
              </w:rPr>
              <mc:AlternateContent>
                <mc:Choice Requires="wps">
                  <w:drawing>
                    <wp:anchor distT="0" distB="0" distL="114300" distR="114300" simplePos="0" relativeHeight="251670528" behindDoc="0" locked="0" layoutInCell="1" hidden="0" allowOverlap="1" wp14:anchorId="783A23A3" wp14:editId="69762E3B">
                      <wp:simplePos x="0" y="0"/>
                      <wp:positionH relativeFrom="column">
                        <wp:posOffset>977900</wp:posOffset>
                      </wp:positionH>
                      <wp:positionV relativeFrom="paragraph">
                        <wp:posOffset>190500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450614" y="3780000"/>
                                <a:ext cx="1790772"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437EC0D" id="_x0000_t32" coordsize="21600,21600" o:spt="32" o:oned="t" path="m,l21600,21600e" filled="f">
                      <v:path arrowok="t" fillok="f" o:connecttype="none"/>
                      <o:lock v:ext="edit" shapetype="t"/>
                    </v:shapetype>
                    <v:shape id="Straight Arrow Connector 11" o:spid="_x0000_s1026" type="#_x0000_t32" style="position:absolute;margin-left:77pt;margin-top:15pt;width:0;height: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"/>
                  </w:pict>
                </mc:Fallback>
              </mc:AlternateContent>
            </w:r>
          </w:p>
        </w:tc>
      </w:tr>
      <w:tr w:rsidR="002F471A" w14:paraId="71D04E1E" w14:textId="77777777" w:rsidTr="00BA6436">
        <w:trPr>
          <w:trHeight w:val="736"/>
        </w:trPr>
        <w:tc>
          <w:tcPr>
            <w:tcW w:w="4039" w:type="dxa"/>
            <w:gridSpan w:val="2"/>
          </w:tcPr>
          <w:p w14:paraId="7DD90B68" w14:textId="77777777" w:rsidR="002F471A" w:rsidRDefault="002F471A" w:rsidP="00BA6436">
            <w:pPr>
              <w:pStyle w:val="Heading2"/>
              <w:spacing w:before="180" w:after="12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75D87DC0" wp14:editId="0D5D134F">
                      <wp:simplePos x="0" y="0"/>
                      <wp:positionH relativeFrom="column">
                        <wp:posOffset>595146</wp:posOffset>
                      </wp:positionH>
                      <wp:positionV relativeFrom="paragraph">
                        <wp:posOffset>463758</wp:posOffset>
                      </wp:positionV>
                      <wp:extent cx="1284605" cy="307340"/>
                      <wp:effectExtent l="0" t="0" r="10795" b="16510"/>
                      <wp:wrapNone/>
                      <wp:docPr id="3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307340"/>
                              </a:xfrm>
                              <a:prstGeom prst="rect">
                                <a:avLst/>
                              </a:prstGeom>
                              <a:solidFill>
                                <a:srgbClr val="FFFFFF"/>
                              </a:solidFill>
                              <a:ln w="9525">
                                <a:solidFill>
                                  <a:srgbClr val="000000"/>
                                </a:solidFill>
                                <a:miter lim="800000"/>
                                <a:headEnd/>
                                <a:tailEnd/>
                              </a:ln>
                            </wps:spPr>
                            <wps:txbx>
                              <w:txbxContent>
                                <w:p w14:paraId="5EE51AD0" w14:textId="77777777" w:rsidR="002F471A" w:rsidRDefault="002F471A" w:rsidP="002F471A">
                                  <w:pPr>
                                    <w:jc w:val="center"/>
                                    <w:rPr>
                                      <w:b/>
                                      <w:sz w:val="26"/>
                                      <w:szCs w:val="26"/>
                                    </w:rPr>
                                  </w:pPr>
                                  <w:r>
                                    <w:rPr>
                                      <w:b/>
                                      <w:sz w:val="26"/>
                                      <w:szCs w:val="26"/>
                                    </w:rPr>
                                    <w:t xml:space="preserve">DỰ THẢO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D87DC0" id="_x0000_t202" coordsize="21600,21600" o:spt="202" path="m,l,21600r21600,l21600,xe">
                      <v:stroke joinstyle="miter"/>
                      <v:path gradientshapeok="t" o:connecttype="rect"/>
                    </v:shapetype>
                    <v:shape id="Text Box 1" o:spid="_x0000_s1026" type="#_x0000_t202" style="position:absolute;left:0;text-align:left;margin-left:46.85pt;margin-top:36.5pt;width:101.15pt;height:2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">
                      <v:textbox>
                        <w:txbxContent>
                          <w:p w14:paraId="5EE51AD0" w14:textId="77777777" w:rsidR="002F471A" w:rsidRDefault="002F471A" w:rsidP="002F471A">
                            <w:pPr>
                              <w:jc w:val="center"/>
                              <w:rPr>
                                <w:b/>
                                <w:sz w:val="26"/>
                                <w:szCs w:val="26"/>
                              </w:rPr>
                            </w:pPr>
                            <w:r>
                              <w:rPr>
                                <w:b/>
                                <w:sz w:val="26"/>
                                <w:szCs w:val="26"/>
                              </w:rPr>
                              <w:t xml:space="preserve">DỰ THẢO </w:t>
                            </w:r>
                          </w:p>
                        </w:txbxContent>
                      </v:textbox>
                    </v:shape>
                  </w:pict>
                </mc:Fallback>
              </mc:AlternateContent>
            </w:r>
            <w:r>
              <w:rPr>
                <w:rFonts w:ascii="Times New Roman" w:hAnsi="Times New Roman"/>
                <w:sz w:val="28"/>
                <w:szCs w:val="28"/>
              </w:rPr>
              <w:t>Số:           /BC-</w:t>
            </w:r>
            <w:r>
              <w:rPr>
                <w:noProof/>
              </w:rPr>
              <mc:AlternateContent>
                <mc:Choice Requires="wps">
                  <w:drawing>
                    <wp:anchor distT="0" distB="0" distL="114300" distR="114300" simplePos="0" relativeHeight="251671552" behindDoc="0" locked="0" layoutInCell="1" hidden="0" allowOverlap="1" wp14:anchorId="46BA682F" wp14:editId="783BAC89">
                      <wp:simplePos x="0" y="0"/>
                      <wp:positionH relativeFrom="column">
                        <wp:posOffset>546100</wp:posOffset>
                      </wp:positionH>
                      <wp:positionV relativeFrom="paragraph">
                        <wp:posOffset>0</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776657" y="3780000"/>
                                <a:ext cx="1138687"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26A7B74" id="Straight Arrow Connector 12" o:spid="_x0000_s1026" type="#_x0000_t32" style="position:absolute;margin-left:43pt;margin-top:0;width:0;height: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"/>
                  </w:pict>
                </mc:Fallback>
              </mc:AlternateContent>
            </w:r>
            <w:r>
              <w:rPr>
                <w:rFonts w:ascii="Times New Roman" w:hAnsi="Times New Roman"/>
                <w:sz w:val="28"/>
                <w:szCs w:val="28"/>
              </w:rPr>
              <w:t>UBND</w:t>
            </w:r>
          </w:p>
        </w:tc>
        <w:tc>
          <w:tcPr>
            <w:tcW w:w="6136" w:type="dxa"/>
          </w:tcPr>
          <w:p w14:paraId="0A978900" w14:textId="77777777" w:rsidR="002F471A" w:rsidRDefault="002F471A" w:rsidP="00BA6436">
            <w:pPr>
              <w:pStyle w:val="Heading3"/>
              <w:spacing w:before="120"/>
              <w:ind w:right="-14"/>
              <w:jc w:val="left"/>
              <w:rPr>
                <w:rFonts w:ascii="Times New Roman" w:hAnsi="Times New Roman"/>
                <w:sz w:val="28"/>
                <w:szCs w:val="28"/>
              </w:rPr>
            </w:pPr>
            <w:r>
              <w:rPr>
                <w:rFonts w:ascii="Times New Roman" w:hAnsi="Times New Roman"/>
                <w:sz w:val="28"/>
                <w:szCs w:val="28"/>
              </w:rPr>
              <w:t xml:space="preserve">Thành phố Hồ Chí Minh, ngày   </w:t>
            </w:r>
            <w:r>
              <w:rPr>
                <w:rFonts w:ascii="Times New Roman" w:hAnsi="Times New Roman"/>
                <w:color w:val="FF0000"/>
                <w:sz w:val="28"/>
                <w:szCs w:val="28"/>
              </w:rPr>
              <w:t xml:space="preserve"> </w:t>
            </w:r>
            <w:r>
              <w:rPr>
                <w:rFonts w:ascii="Times New Roman" w:hAnsi="Times New Roman"/>
                <w:sz w:val="28"/>
                <w:szCs w:val="28"/>
              </w:rPr>
              <w:t xml:space="preserve">tháng   </w:t>
            </w:r>
            <w:r>
              <w:rPr>
                <w:rFonts w:ascii="Times New Roman" w:hAnsi="Times New Roman"/>
                <w:color w:val="FF0000"/>
                <w:sz w:val="28"/>
                <w:szCs w:val="28"/>
              </w:rPr>
              <w:t xml:space="preserve"> </w:t>
            </w:r>
            <w:r>
              <w:rPr>
                <w:rFonts w:ascii="Times New Roman" w:hAnsi="Times New Roman"/>
                <w:sz w:val="28"/>
                <w:szCs w:val="28"/>
              </w:rPr>
              <w:t>năm 2024</w:t>
            </w:r>
          </w:p>
          <w:p w14:paraId="726F6DFC" w14:textId="77777777" w:rsidR="002F471A" w:rsidRDefault="002F471A" w:rsidP="00BA6436">
            <w:pPr>
              <w:ind w:left="-3703" w:firstLine="3703"/>
            </w:pPr>
          </w:p>
          <w:p w14:paraId="37DB4419" w14:textId="77777777" w:rsidR="002F471A" w:rsidRDefault="002F471A" w:rsidP="00BA6436"/>
        </w:tc>
      </w:tr>
      <w:tr w:rsidR="002F471A" w14:paraId="76A5DF31" w14:textId="77777777" w:rsidTr="00BA6436">
        <w:trPr>
          <w:trHeight w:val="368"/>
        </w:trPr>
        <w:tc>
          <w:tcPr>
            <w:tcW w:w="778" w:type="dxa"/>
          </w:tcPr>
          <w:p w14:paraId="5F51C956" w14:textId="77777777" w:rsidR="002F471A" w:rsidRDefault="002F471A" w:rsidP="00BA6436">
            <w:pPr>
              <w:widowControl w:val="0"/>
              <w:pBdr>
                <w:top w:val="nil"/>
                <w:left w:val="nil"/>
                <w:bottom w:val="nil"/>
                <w:right w:val="nil"/>
                <w:between w:val="nil"/>
              </w:pBdr>
              <w:spacing w:line="276" w:lineRule="auto"/>
            </w:pPr>
          </w:p>
        </w:tc>
        <w:tc>
          <w:tcPr>
            <w:tcW w:w="9397" w:type="dxa"/>
            <w:gridSpan w:val="2"/>
          </w:tcPr>
          <w:p w14:paraId="5FA5CC92" w14:textId="100BADE9" w:rsidR="002F471A" w:rsidRDefault="002F471A" w:rsidP="002F471A">
            <w:pPr>
              <w:shd w:val="clear" w:color="auto" w:fill="FFFFFF"/>
              <w:spacing w:before="360" w:line="252" w:lineRule="auto"/>
              <w:jc w:val="center"/>
              <w:rPr>
                <w:b/>
              </w:rPr>
            </w:pPr>
            <w:r>
              <w:rPr>
                <w:b/>
              </w:rPr>
              <w:t xml:space="preserve">BÁO CÁO </w:t>
            </w:r>
            <w:r>
              <w:rPr>
                <w:b/>
              </w:rPr>
              <w:br/>
              <w:t xml:space="preserve">Đánh giá tác động của chính sách trong đề nghị xây dựng </w:t>
            </w:r>
            <w:r>
              <w:rPr>
                <w:b/>
              </w:rPr>
              <w:br/>
            </w:r>
            <w:r w:rsidRPr="002F471A">
              <w:rPr>
                <w:b/>
              </w:rPr>
              <w:t xml:space="preserve">Nghị quyết về chính sách đặc thù hỗ trợ học phí cho học sinh trung học </w:t>
            </w:r>
            <w:r>
              <w:rPr>
                <w:b/>
              </w:rPr>
              <w:br/>
            </w:r>
            <w:r w:rsidRPr="002F471A">
              <w:rPr>
                <w:b/>
              </w:rPr>
              <w:t>cơ sở công lập, ngoài công lập và học viên giáo dục thường xuyên trung học cơ sở trên địa bàn Thành phố Hồ Chí Minh năm học 2024 – 2025</w:t>
            </w:r>
          </w:p>
        </w:tc>
      </w:tr>
      <w:tr w:rsidR="002F471A" w14:paraId="4CD6DC5F" w14:textId="77777777" w:rsidTr="00BA6436">
        <w:trPr>
          <w:trHeight w:val="368"/>
        </w:trPr>
        <w:tc>
          <w:tcPr>
            <w:tcW w:w="778" w:type="dxa"/>
          </w:tcPr>
          <w:p w14:paraId="5470590E" w14:textId="77777777" w:rsidR="002F471A" w:rsidRDefault="002F471A" w:rsidP="00BA6436">
            <w:pPr>
              <w:widowControl w:val="0"/>
              <w:pBdr>
                <w:top w:val="nil"/>
                <w:left w:val="nil"/>
                <w:bottom w:val="nil"/>
                <w:right w:val="nil"/>
                <w:between w:val="nil"/>
              </w:pBdr>
              <w:spacing w:line="276" w:lineRule="auto"/>
              <w:rPr>
                <w:i/>
              </w:rPr>
            </w:pPr>
          </w:p>
        </w:tc>
        <w:tc>
          <w:tcPr>
            <w:tcW w:w="9397" w:type="dxa"/>
            <w:gridSpan w:val="2"/>
          </w:tcPr>
          <w:p w14:paraId="75154A78" w14:textId="7C2D909A" w:rsidR="002F471A" w:rsidRDefault="002F471A" w:rsidP="00BA6436">
            <w:pPr>
              <w:shd w:val="clear" w:color="auto" w:fill="FFFFFF"/>
              <w:spacing w:after="240" w:line="180" w:lineRule="auto"/>
              <w:jc w:val="center"/>
              <w:rPr>
                <w:b/>
                <w:vertAlign w:val="superscript"/>
              </w:rPr>
            </w:pPr>
            <w:r>
              <w:rPr>
                <w:b/>
                <w:vertAlign w:val="superscript"/>
              </w:rPr>
              <w:t>____________________</w:t>
            </w:r>
          </w:p>
        </w:tc>
      </w:tr>
    </w:tbl>
    <w:p w14:paraId="6DAD0266" w14:textId="77777777" w:rsidR="00690523" w:rsidRDefault="00690523" w:rsidP="00690523">
      <w:pPr>
        <w:pBdr>
          <w:top w:val="nil"/>
          <w:left w:val="nil"/>
          <w:bottom w:val="nil"/>
          <w:right w:val="nil"/>
          <w:between w:val="nil"/>
        </w:pBdr>
        <w:shd w:val="clear" w:color="auto" w:fill="FFFFFF"/>
        <w:spacing w:before="120" w:after="120"/>
        <w:ind w:firstLine="720"/>
        <w:jc w:val="both"/>
      </w:pPr>
      <w:r>
        <w:t xml:space="preserve">Thực hiện Quyết định số 11/2022/QĐ-UBND ngày 15 tháng 4 năm 2022 của Ủy ban nhân dân thành phố về ban hành Quy định về quy trình xây dựng văn bản quy phạm pháp luật trên địa bàn Thành phố Hồ Chí Minh; </w:t>
      </w:r>
    </w:p>
    <w:p w14:paraId="2F5883C4" w14:textId="60A5F2AB" w:rsidR="005D096E" w:rsidRDefault="00690523" w:rsidP="00690523">
      <w:pPr>
        <w:pBdr>
          <w:top w:val="nil"/>
          <w:left w:val="nil"/>
          <w:bottom w:val="nil"/>
          <w:right w:val="nil"/>
          <w:between w:val="nil"/>
        </w:pBdr>
        <w:shd w:val="clear" w:color="auto" w:fill="FFFFFF"/>
        <w:spacing w:before="120" w:after="120"/>
        <w:ind w:firstLine="720"/>
        <w:jc w:val="both"/>
        <w:rPr>
          <w:color w:val="000000"/>
          <w:highlight w:val="white"/>
        </w:rPr>
      </w:pPr>
      <w:r>
        <w:t>Ủy ban nhân dân Thành phố báo cáo đánh giá tác động của chính sách trong đề nghị xây dựng dự thảo Nghị quyết về chính sách đặc thù hỗ trợ học phí cho học sinh trung học cơ sở công lập, ngoài công lập và học viên giáo dục thường xuyên trung học cơ sở trên địa bàn Thành phố Hồ Chí Minh năm học 2024 – 2025 như sau:</w:t>
      </w:r>
    </w:p>
    <w:p w14:paraId="71C3BDC2" w14:textId="6145B836" w:rsidR="005D096E" w:rsidRDefault="00C97857" w:rsidP="006B7C04">
      <w:pPr>
        <w:pBdr>
          <w:top w:val="nil"/>
          <w:left w:val="nil"/>
          <w:bottom w:val="nil"/>
          <w:right w:val="nil"/>
          <w:between w:val="nil"/>
        </w:pBdr>
        <w:shd w:val="clear" w:color="auto" w:fill="FFFFFF"/>
        <w:spacing w:before="120" w:after="120"/>
        <w:ind w:firstLine="567"/>
        <w:rPr>
          <w:b/>
          <w:color w:val="000000"/>
        </w:rPr>
      </w:pPr>
      <w:r>
        <w:rPr>
          <w:b/>
          <w:color w:val="000000"/>
        </w:rPr>
        <w:t xml:space="preserve">I. XÁC ĐỊNH VẤN ĐỀ </w:t>
      </w:r>
    </w:p>
    <w:p w14:paraId="7D53A738" w14:textId="77777777" w:rsidR="005D096E" w:rsidRDefault="00C97857" w:rsidP="006B7C04">
      <w:pPr>
        <w:widowControl w:val="0"/>
        <w:pBdr>
          <w:top w:val="nil"/>
          <w:left w:val="nil"/>
          <w:bottom w:val="nil"/>
          <w:right w:val="nil"/>
          <w:between w:val="nil"/>
        </w:pBdr>
        <w:tabs>
          <w:tab w:val="left" w:pos="851"/>
        </w:tabs>
        <w:spacing w:before="120" w:after="120"/>
        <w:ind w:firstLine="567"/>
        <w:jc w:val="both"/>
        <w:rPr>
          <w:b/>
          <w:color w:val="000000"/>
        </w:rPr>
      </w:pPr>
      <w:r>
        <w:rPr>
          <w:b/>
          <w:color w:val="000000"/>
        </w:rPr>
        <w:t>1. Bối cảnh xây dựng chính sách</w:t>
      </w:r>
    </w:p>
    <w:p w14:paraId="6E23FDFB" w14:textId="77777777" w:rsidR="00FF18B2" w:rsidRDefault="00FF18B2" w:rsidP="00FF18B2">
      <w:pPr>
        <w:spacing w:before="120" w:after="120"/>
        <w:ind w:firstLine="720"/>
        <w:jc w:val="both"/>
      </w:pPr>
      <w:r>
        <w:t xml:space="preserve">Từ năm học 2021-2022 đến năm học 2023-2024, nhằm kịp thời hỗ trợ, ổn định và chia sẻ khó khăn, giảm bớt gánh nặng tài chính với phụ huynh, học sinh và người dân do ảnh hưởng của dịch bệnh Covid-19, Hội đồng nhân dân Thành phố đã ban hành các chính sách đặc thù của thành phố hỗ trợ học phí cho tất cả các cấp học, cụ thể như sau: </w:t>
      </w:r>
    </w:p>
    <w:p w14:paraId="75D36BDC" w14:textId="77777777" w:rsidR="00FF18B2" w:rsidRDefault="00FF18B2" w:rsidP="00FF18B2">
      <w:pPr>
        <w:spacing w:before="120" w:after="120"/>
        <w:ind w:firstLine="720"/>
        <w:jc w:val="both"/>
      </w:pPr>
      <w:r>
        <w:t xml:space="preserve">- Năm học 2021-2022: hỗ trợ 100% mức học phí công lập theo Nghị quyết số 17/2021/NQ-HĐND ngày 19/10/2021 và Nghị quyết số 29/2021/NQ-HĐND ngày 09/12/2021 của Hội đồng nhân dân Thành phố, tổng số tiền ngân sách Thành phố thực hiện hỗ trợ là 604,5 tỷ đồng. </w:t>
      </w:r>
    </w:p>
    <w:p w14:paraId="4ADDC37E" w14:textId="77777777" w:rsidR="00FF18B2" w:rsidRDefault="00FF18B2" w:rsidP="00FF18B2">
      <w:pPr>
        <w:spacing w:before="120" w:after="120"/>
        <w:ind w:firstLine="720"/>
        <w:jc w:val="both"/>
      </w:pPr>
      <w:r>
        <w:t>- Năm học 2022-2023: hỗ trợ phần chênh lệch do điều chỉnh mức học phí theo Nghị quyết số 17/2022/NQ-HĐND ngày 11/10/2022 của Hội đồng nhân dân Thành phố, tổng số tiền ngân sách Thành phố thực hiện hỗ trợ là 1.518,8 tỷ đồng.</w:t>
      </w:r>
    </w:p>
    <w:p w14:paraId="38A19A42" w14:textId="1BFA7998" w:rsidR="00FF18B2" w:rsidRDefault="00FF18B2" w:rsidP="00FF18B2">
      <w:pPr>
        <w:spacing w:before="120" w:after="120"/>
        <w:ind w:firstLine="720"/>
        <w:jc w:val="both"/>
      </w:pPr>
      <w:r>
        <w:t>- Năm học 2023-2024: hỗ trợ phần chênh lệch do điều chỉnh mức học phí đối với Mầm non, THPT và hỗ trợ 100% h</w:t>
      </w:r>
      <w:r w:rsidR="007C3843">
        <w:t>ọ</w:t>
      </w:r>
      <w:r>
        <w:t>c phí đối với THCS theo Nghị quyết số 36/2023/NQ-HĐND ngày 08/12/2023 của Hội đồng nhân dân Thành phố. Dự toán kinh phí thực hiện chính sách là 1.847 tỷ đồng. Trong đó, kinh phí thực hiện miễn học phí cho học sinh trung học cơ sở là 1.108 tỷ đồng (công lập: 1.042 tỷ đồng, ngoài công lập: 66 tỷ đồng).</w:t>
      </w:r>
    </w:p>
    <w:p w14:paraId="2AA79584" w14:textId="291C4D1E" w:rsidR="00FF18B2" w:rsidRDefault="00FF18B2" w:rsidP="00FF18B2">
      <w:pPr>
        <w:spacing w:before="120" w:after="120"/>
        <w:ind w:firstLine="720"/>
        <w:jc w:val="both"/>
      </w:pPr>
      <w:r>
        <w:lastRenderedPageBreak/>
        <w:t xml:space="preserve">Qua 03 năm học thực hiện chính sách hỗ trợ học phí cho thấy chính sách là hợp lòng dân, tạo sự an tâm và động lực cho phụ huynh người dân thành phố có điều kiện phát triển kinh tế và sản xuất kinh doanh phục hồi kinh tế sau thời gian đối phó dịch bệnh; học sinh an tâm đến trường không phải nghỉ bỏ học vì điều kiện kinh tế không có khả năng đóng học phí. </w:t>
      </w:r>
      <w:r>
        <w:rPr>
          <w:spacing w:val="-2"/>
        </w:rPr>
        <w:t>Các cơ sở giáo dục được đảm bảo nguồn lực tài chính nâng cao chất lượng các hoạt động giáo dục, tăng thu nhập cho người lao động.</w:t>
      </w:r>
    </w:p>
    <w:p w14:paraId="76E05952" w14:textId="77777777" w:rsidR="007C3843" w:rsidRDefault="00FF18B2" w:rsidP="007C3843">
      <w:pPr>
        <w:shd w:val="clear" w:color="auto" w:fill="FFFFFF"/>
        <w:spacing w:before="120" w:after="120"/>
        <w:ind w:left="1" w:firstLineChars="251" w:firstLine="703"/>
        <w:jc w:val="both"/>
      </w:pPr>
      <w:r>
        <w:t xml:space="preserve">Ngoài ra, năm học 2024 - 2025 là năm cuối thực hiện thu học phí đối với học sinh trung học cơ sở theo lộ trình tại </w:t>
      </w:r>
      <w:r w:rsidR="007C3843" w:rsidRPr="00005FD7">
        <w:t xml:space="preserve">khoản 9 Điều 15 Nghị định số 81/2021/NĐ-CP của Chính phủ: </w:t>
      </w:r>
      <w:r w:rsidR="007C3843" w:rsidRPr="00005FD7">
        <w:rPr>
          <w:i/>
          <w:iCs/>
        </w:rPr>
        <w:t>“9. Học sinh trung học cơ sở không thuộc đối tượng quy định tại khoản 8 Điều này được miễn học phí từ năm học 2025 - 2026 (được hưởng từ ngày 01 tháng 9 năm 2025)”.</w:t>
      </w:r>
    </w:p>
    <w:p w14:paraId="7B792292" w14:textId="17CFA391" w:rsidR="005D096E" w:rsidRDefault="00C97857" w:rsidP="007C3843">
      <w:pPr>
        <w:spacing w:before="120" w:after="120"/>
        <w:ind w:firstLine="720"/>
        <w:jc w:val="both"/>
        <w:rPr>
          <w:b/>
          <w:color w:val="000000"/>
        </w:rPr>
      </w:pPr>
      <w:r>
        <w:rPr>
          <w:b/>
          <w:color w:val="000000"/>
        </w:rPr>
        <w:t>2. Mục tiêu xây dựng chính sách</w:t>
      </w:r>
    </w:p>
    <w:p w14:paraId="1B715FB6" w14:textId="77777777" w:rsidR="003F0E08" w:rsidRDefault="003F0E08" w:rsidP="003F0E08">
      <w:pPr>
        <w:pBdr>
          <w:top w:val="nil"/>
          <w:left w:val="nil"/>
          <w:bottom w:val="nil"/>
          <w:right w:val="nil"/>
          <w:between w:val="nil"/>
        </w:pBdr>
        <w:shd w:val="clear" w:color="auto" w:fill="FFFFFF"/>
        <w:spacing w:before="120" w:after="120"/>
        <w:ind w:firstLine="567"/>
        <w:jc w:val="both"/>
        <w:rPr>
          <w:color w:val="000000"/>
        </w:rPr>
      </w:pPr>
      <w:r w:rsidRPr="003F0E08">
        <w:rPr>
          <w:color w:val="000000"/>
        </w:rPr>
        <w:t>Để có cơ sở pháp lý bố trí nguồn ngân sách thành phố triển khai thực hiện bảo đảm nguồn kinh phí để hỗ trợ học phí năm học 2024-2025 trên địa bàn Thành phố. Tạo tiền đề thực hiện lộ trình phổ cập giáo dục trung học cơ sở theo quy định của Luật Giáo dục năm 2019, Nghị định số 81/2021/NĐ-CP ngày 27 tháng 8 năm 2021 của Chính phủ cũng như thể hiện rõ sự quan tâm đầu tư của Thành phố cho giáo dục, là thành phố đi đầu trong các chính sách miễn giảm, hỗ trợ học phí, đảm bảo chất lượng giáo dục và cơ hội học tập cho người dân.</w:t>
      </w:r>
    </w:p>
    <w:p w14:paraId="60919FF6" w14:textId="6F654768" w:rsidR="005D096E" w:rsidRDefault="00C97857" w:rsidP="006B7C04">
      <w:pPr>
        <w:pBdr>
          <w:top w:val="nil"/>
          <w:left w:val="nil"/>
          <w:bottom w:val="nil"/>
          <w:right w:val="nil"/>
          <w:between w:val="nil"/>
        </w:pBdr>
        <w:shd w:val="clear" w:color="auto" w:fill="FFFFFF"/>
        <w:spacing w:before="120" w:after="120"/>
        <w:ind w:firstLine="567"/>
        <w:rPr>
          <w:b/>
          <w:color w:val="000000"/>
        </w:rPr>
      </w:pPr>
      <w:r>
        <w:rPr>
          <w:b/>
          <w:color w:val="000000"/>
        </w:rPr>
        <w:t>II. ĐÁNH GIÁ TÁC ĐỘNG CỦA CHÍNH SÁCH</w:t>
      </w:r>
    </w:p>
    <w:p w14:paraId="0BD07656" w14:textId="77777777" w:rsidR="003F0E08" w:rsidRDefault="003F0E08" w:rsidP="003F0E08">
      <w:pPr>
        <w:numPr>
          <w:ilvl w:val="0"/>
          <w:numId w:val="1"/>
        </w:numPr>
        <w:pBdr>
          <w:top w:val="nil"/>
          <w:left w:val="nil"/>
          <w:bottom w:val="nil"/>
          <w:right w:val="nil"/>
          <w:between w:val="nil"/>
        </w:pBdr>
        <w:shd w:val="clear" w:color="auto" w:fill="FFFFFF"/>
        <w:tabs>
          <w:tab w:val="left" w:pos="851"/>
        </w:tabs>
        <w:spacing w:before="120" w:after="120"/>
        <w:ind w:left="0" w:firstLine="567"/>
        <w:jc w:val="both"/>
        <w:rPr>
          <w:b/>
          <w:color w:val="000000"/>
        </w:rPr>
      </w:pPr>
      <w:r w:rsidRPr="005A7779">
        <w:rPr>
          <w:b/>
          <w:color w:val="000000"/>
        </w:rPr>
        <w:t>Xác định vấn đề và mục tiêu giải quyết vấn đề</w:t>
      </w:r>
    </w:p>
    <w:p w14:paraId="67841272" w14:textId="15C80D65" w:rsidR="003F0E08" w:rsidRPr="003F0E08" w:rsidRDefault="003F0E08" w:rsidP="003F0E08">
      <w:pPr>
        <w:pBdr>
          <w:top w:val="nil"/>
          <w:left w:val="nil"/>
          <w:bottom w:val="nil"/>
          <w:right w:val="nil"/>
          <w:between w:val="nil"/>
        </w:pBdr>
        <w:shd w:val="clear" w:color="auto" w:fill="FFFFFF"/>
        <w:spacing w:before="120" w:after="120"/>
        <w:ind w:firstLine="567"/>
        <w:jc w:val="both"/>
        <w:rPr>
          <w:b/>
          <w:color w:val="000000"/>
        </w:rPr>
      </w:pPr>
      <w:r w:rsidRPr="003F0E08">
        <w:rPr>
          <w:b/>
          <w:color w:val="000000"/>
        </w:rPr>
        <w:t>1.1. Xác định vấn đề</w:t>
      </w:r>
    </w:p>
    <w:p w14:paraId="29EDE745" w14:textId="77777777" w:rsidR="003F0E08" w:rsidRDefault="003F0E08" w:rsidP="003F0E08">
      <w:pPr>
        <w:spacing w:before="120" w:after="120"/>
        <w:ind w:firstLine="720"/>
        <w:jc w:val="both"/>
      </w:pPr>
      <w:r>
        <w:t xml:space="preserve">Năm học 2024 – 2025, mức học phí của các cấp học quay trở lại bằng mức học phí của năm học 2021 – 2022 theo quy định tại Nghị định số 97/2023/NĐ-CP ngày 31 tháng 12 năm 2023 của Chính phủ sửa đổi, bổ sung một số điều của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w:t>
      </w:r>
    </w:p>
    <w:p w14:paraId="485CCFA1" w14:textId="77777777" w:rsidR="003F0E08" w:rsidRDefault="003F0E08" w:rsidP="003F0E08">
      <w:pPr>
        <w:spacing w:before="120" w:after="120"/>
        <w:ind w:firstLine="720"/>
        <w:jc w:val="both"/>
      </w:pPr>
      <w:r>
        <w:t xml:space="preserve">Xuất phát từ thực tiễn tình hình kinh tế - xã hội của Thành phố trong năm 2024 và trên cơ sở lộ trình miễn giảm học phí tại Nghị định số 81/2021/NĐ-CP của Chính phủ, chính sách đặc thù hỗ trợ học phí cho học sinh trung học cơ sở công lập, ngoài công lập và học viên giáo dục thường xuyên trên địa bàn Thành phố Hồ Chí Minh năm học 2024 – 2025 vẫn là yêu cầu cần thiết, tạo dấu ấn có ý nghĩa đặc biệt quan trọng, thể hiện sự quan tâm, quyết tâm của Thành phố khi thực hiện lộ trình, mục tiêu phát triển giáo dục. </w:t>
      </w:r>
    </w:p>
    <w:p w14:paraId="617DCF55" w14:textId="77777777" w:rsidR="003F0E08" w:rsidRDefault="003F0E08" w:rsidP="003F0E08">
      <w:pPr>
        <w:spacing w:before="120" w:after="120"/>
        <w:ind w:firstLine="720"/>
        <w:jc w:val="both"/>
      </w:pPr>
      <w:r>
        <w:t>Để có cơ sở pháp lý bố trí nguồn ngân sách thành phố triển khai thực hiện bảo đảm nguồn kinh phí để hỗ trợ học phí năm học 2024-2025 trên địa bàn Thành phố, việc xây dựng Nghị quyết về chính sách đặc thù hỗ trợ học phí cho học sinh trung học cơ sở công lập, ngoài công lập và học viên giáo dục thường xuyên trung học cơ sở trên địa bàn Thành phố Hồ Chí Minh năm học 2024 – 2025 là yêu cầu cần thiết.</w:t>
      </w:r>
    </w:p>
    <w:p w14:paraId="5EABABF1" w14:textId="23688EEF" w:rsidR="005D096E" w:rsidRDefault="003F0E08" w:rsidP="003F0E08">
      <w:pPr>
        <w:spacing w:before="120" w:after="120"/>
        <w:ind w:firstLine="720"/>
        <w:jc w:val="both"/>
        <w:rPr>
          <w:b/>
          <w:color w:val="000000"/>
        </w:rPr>
      </w:pPr>
      <w:r>
        <w:rPr>
          <w:b/>
          <w:color w:val="000000"/>
        </w:rPr>
        <w:lastRenderedPageBreak/>
        <w:t>1.</w:t>
      </w:r>
      <w:r w:rsidR="00C97857">
        <w:rPr>
          <w:b/>
          <w:color w:val="000000"/>
        </w:rPr>
        <w:t>2. Mục tiêu giải quyết vấn đề</w:t>
      </w:r>
    </w:p>
    <w:p w14:paraId="7AF032DC" w14:textId="77777777" w:rsidR="005D096E" w:rsidRDefault="00C97857" w:rsidP="006B7C04">
      <w:pPr>
        <w:widowControl w:val="0"/>
        <w:pBdr>
          <w:top w:val="nil"/>
          <w:left w:val="nil"/>
          <w:bottom w:val="nil"/>
          <w:right w:val="nil"/>
          <w:between w:val="nil"/>
        </w:pBdr>
        <w:spacing w:before="120" w:after="120"/>
        <w:ind w:firstLine="720"/>
        <w:jc w:val="both"/>
        <w:rPr>
          <w:color w:val="000000"/>
        </w:rPr>
      </w:pPr>
      <w:r>
        <w:rPr>
          <w:color w:val="000000"/>
        </w:rPr>
        <w:t>- Đảm bảo tính pháp lý của chính sách.</w:t>
      </w:r>
    </w:p>
    <w:p w14:paraId="6BDC1ADB" w14:textId="77777777" w:rsidR="005D096E" w:rsidRDefault="00C97857" w:rsidP="006B7C04">
      <w:pPr>
        <w:widowControl w:val="0"/>
        <w:pBdr>
          <w:top w:val="nil"/>
          <w:left w:val="nil"/>
          <w:bottom w:val="nil"/>
          <w:right w:val="nil"/>
          <w:between w:val="nil"/>
        </w:pBdr>
        <w:spacing w:before="120" w:after="120"/>
        <w:ind w:firstLine="720"/>
        <w:jc w:val="both"/>
        <w:rPr>
          <w:color w:val="000000"/>
        </w:rPr>
      </w:pPr>
      <w:r>
        <w:rPr>
          <w:color w:val="000000"/>
        </w:rPr>
        <w:t>- Phù hợp với khả năng nguồn lực và thực tiễn.</w:t>
      </w:r>
    </w:p>
    <w:p w14:paraId="211DD80D" w14:textId="77777777" w:rsidR="003F0E08" w:rsidRDefault="003F0E08" w:rsidP="003F0E08">
      <w:pPr>
        <w:widowControl w:val="0"/>
        <w:pBdr>
          <w:top w:val="nil"/>
          <w:left w:val="nil"/>
          <w:bottom w:val="nil"/>
          <w:right w:val="nil"/>
          <w:between w:val="nil"/>
        </w:pBdr>
        <w:spacing w:before="120" w:after="120"/>
        <w:ind w:firstLine="720"/>
        <w:jc w:val="both"/>
        <w:rPr>
          <w:b/>
          <w:color w:val="000000"/>
        </w:rPr>
      </w:pPr>
      <w:r>
        <w:rPr>
          <w:b/>
          <w:color w:val="000000"/>
        </w:rPr>
        <w:t xml:space="preserve">2. </w:t>
      </w:r>
      <w:r w:rsidRPr="007F2278">
        <w:rPr>
          <w:b/>
          <w:color w:val="000000"/>
        </w:rPr>
        <w:t>Các giải pháp và đánh giá tác động của các giải pháp</w:t>
      </w:r>
      <w:r>
        <w:rPr>
          <w:b/>
          <w:color w:val="000000"/>
        </w:rPr>
        <w:t xml:space="preserve"> đối với đối tượng chịu sự tác động trực tiếp của chính sách và các đối tượng khác có liên quan</w:t>
      </w:r>
    </w:p>
    <w:p w14:paraId="57D8E97E" w14:textId="77777777" w:rsidR="003F0E08" w:rsidRDefault="003F0E08" w:rsidP="003F0E08">
      <w:pPr>
        <w:widowControl w:val="0"/>
        <w:pBdr>
          <w:top w:val="nil"/>
          <w:left w:val="nil"/>
          <w:bottom w:val="nil"/>
          <w:right w:val="nil"/>
          <w:between w:val="nil"/>
        </w:pBdr>
        <w:spacing w:before="120" w:after="120"/>
        <w:ind w:firstLine="720"/>
        <w:jc w:val="both"/>
        <w:rPr>
          <w:b/>
          <w:color w:val="000000"/>
        </w:rPr>
      </w:pPr>
      <w:r>
        <w:rPr>
          <w:b/>
          <w:color w:val="000000"/>
        </w:rPr>
        <w:t>2.1. Các giải pháp</w:t>
      </w:r>
    </w:p>
    <w:p w14:paraId="0CBC1B7A" w14:textId="7EC9806C" w:rsidR="00304D39" w:rsidRDefault="00304D39" w:rsidP="00304D39">
      <w:pPr>
        <w:widowControl w:val="0"/>
        <w:pBdr>
          <w:top w:val="nil"/>
          <w:left w:val="nil"/>
          <w:bottom w:val="nil"/>
          <w:right w:val="nil"/>
          <w:between w:val="nil"/>
        </w:pBdr>
        <w:spacing w:before="120" w:after="120"/>
        <w:ind w:firstLine="720"/>
        <w:jc w:val="both"/>
      </w:pPr>
      <w:r w:rsidRPr="004E669F">
        <w:rPr>
          <w:color w:val="000000"/>
        </w:rPr>
        <w:t xml:space="preserve">Ban hành Nghị quyết của Hội đồng nhân dân Thành phố </w:t>
      </w:r>
      <w:r w:rsidRPr="008C1442">
        <w:rPr>
          <w:color w:val="000000"/>
        </w:rPr>
        <w:t xml:space="preserve">về </w:t>
      </w:r>
      <w:r w:rsidRPr="00304D39">
        <w:rPr>
          <w:color w:val="000000"/>
        </w:rPr>
        <w:t>chính sách đặc thù hỗ trợ học phí cho học sinh trung học cơ sở công lập, ngoài công lập và học viên giáo dục thường xuyên trung học cơ sở trên địa bàn Thành phố Hồ Chí Minh năm học 2024 – 2025</w:t>
      </w:r>
      <w:r>
        <w:rPr>
          <w:color w:val="000000"/>
        </w:rPr>
        <w:t xml:space="preserve"> </w:t>
      </w:r>
      <w:r w:rsidRPr="008C1442">
        <w:rPr>
          <w:color w:val="000000"/>
        </w:rPr>
        <w:t xml:space="preserve">bằng </w:t>
      </w:r>
      <w:r w:rsidRPr="00304D39">
        <w:rPr>
          <w:color w:val="000000"/>
        </w:rPr>
        <w:t>mức học phí áp dụng cho học sinh Trung học cơ sở đang theo học tại cơ sở giáo dục phổ thông công lập chưa tự bảo đảm chi thường xuyên theo Nghị quyết số …/2024/NQ-HĐND ngày … tháng … năm 2024 của Hội đồng nhân dân Thành phố về quy định mức học phí đối với giáo dục mầm non, giáo dục phổ thông công lập từ năm học 2024-2025 và các năm học tiếp theo trên địa bàn Thành phố Hồ Chí Minh</w:t>
      </w:r>
      <w:r>
        <w:t>, cụ thể như sau: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2"/>
        <w:gridCol w:w="1843"/>
        <w:gridCol w:w="1843"/>
      </w:tblGrid>
      <w:tr w:rsidR="00304D39" w:rsidRPr="00385FD4" w14:paraId="5AA4C4A9" w14:textId="77777777" w:rsidTr="00BA6436">
        <w:trPr>
          <w:cantSplit/>
          <w:trHeight w:val="419"/>
        </w:trPr>
        <w:tc>
          <w:tcPr>
            <w:tcW w:w="3086" w:type="pct"/>
            <w:vMerge w:val="restart"/>
            <w:tcBorders>
              <w:top w:val="single" w:sz="4" w:space="0" w:color="000000"/>
              <w:left w:val="single" w:sz="4" w:space="0" w:color="000000"/>
              <w:right w:val="single" w:sz="4" w:space="0" w:color="000000"/>
            </w:tcBorders>
            <w:vAlign w:val="center"/>
          </w:tcPr>
          <w:p w14:paraId="2776D7C3" w14:textId="77777777" w:rsidR="00304D39" w:rsidRPr="00385FD4" w:rsidRDefault="00304D39" w:rsidP="00BA6436">
            <w:pPr>
              <w:shd w:val="clear" w:color="auto" w:fill="FFFFFF"/>
              <w:spacing w:before="120" w:after="120"/>
              <w:ind w:left="1" w:hanging="3"/>
              <w:jc w:val="center"/>
            </w:pPr>
            <w:r w:rsidRPr="00385FD4">
              <w:rPr>
                <w:b/>
              </w:rPr>
              <w:t>Cấp học</w:t>
            </w:r>
          </w:p>
        </w:tc>
        <w:tc>
          <w:tcPr>
            <w:tcW w:w="1914" w:type="pct"/>
            <w:gridSpan w:val="2"/>
            <w:tcBorders>
              <w:left w:val="single" w:sz="4" w:space="0" w:color="000000"/>
            </w:tcBorders>
            <w:vAlign w:val="center"/>
          </w:tcPr>
          <w:p w14:paraId="15400F69" w14:textId="77777777" w:rsidR="00304D39" w:rsidRPr="00385FD4" w:rsidRDefault="00304D39" w:rsidP="00BA6436">
            <w:pPr>
              <w:shd w:val="clear" w:color="auto" w:fill="FFFFFF"/>
              <w:spacing w:before="120" w:after="120"/>
              <w:ind w:left="1" w:hanging="3"/>
              <w:jc w:val="center"/>
              <w:rPr>
                <w:b/>
              </w:rPr>
            </w:pPr>
            <w:r w:rsidRPr="00385FD4">
              <w:rPr>
                <w:b/>
              </w:rPr>
              <w:t xml:space="preserve">Mức hỗ trợ học phí </w:t>
            </w:r>
          </w:p>
          <w:p w14:paraId="559BF221" w14:textId="77777777" w:rsidR="00304D39" w:rsidRPr="00385FD4" w:rsidRDefault="00304D39" w:rsidP="00BA6436">
            <w:pPr>
              <w:shd w:val="clear" w:color="auto" w:fill="FFFFFF"/>
              <w:spacing w:before="120" w:after="120"/>
              <w:ind w:left="1" w:hanging="3"/>
              <w:jc w:val="center"/>
            </w:pPr>
            <w:r w:rsidRPr="00385FD4">
              <w:rPr>
                <w:b/>
              </w:rPr>
              <w:t>(</w:t>
            </w:r>
            <w:r w:rsidRPr="00385FD4">
              <w:rPr>
                <w:i/>
              </w:rPr>
              <w:t>đồng/học sinh/tháng)</w:t>
            </w:r>
          </w:p>
        </w:tc>
      </w:tr>
      <w:tr w:rsidR="00304D39" w:rsidRPr="00385FD4" w14:paraId="0ADE7FB6" w14:textId="77777777" w:rsidTr="00BA6436">
        <w:trPr>
          <w:cantSplit/>
          <w:trHeight w:val="244"/>
        </w:trPr>
        <w:tc>
          <w:tcPr>
            <w:tcW w:w="3086" w:type="pct"/>
            <w:vMerge/>
            <w:tcBorders>
              <w:top w:val="single" w:sz="4" w:space="0" w:color="000000"/>
              <w:left w:val="single" w:sz="4" w:space="0" w:color="000000"/>
              <w:right w:val="single" w:sz="4" w:space="0" w:color="000000"/>
            </w:tcBorders>
            <w:vAlign w:val="center"/>
          </w:tcPr>
          <w:p w14:paraId="7E197E14" w14:textId="77777777" w:rsidR="00304D39" w:rsidRPr="00385FD4" w:rsidRDefault="00304D39" w:rsidP="00BA6436">
            <w:pPr>
              <w:pBdr>
                <w:top w:val="nil"/>
                <w:left w:val="nil"/>
                <w:bottom w:val="nil"/>
                <w:right w:val="nil"/>
                <w:between w:val="nil"/>
              </w:pBdr>
              <w:spacing w:line="276" w:lineRule="auto"/>
              <w:ind w:left="1" w:hanging="3"/>
            </w:pPr>
          </w:p>
        </w:tc>
        <w:tc>
          <w:tcPr>
            <w:tcW w:w="957" w:type="pct"/>
            <w:tcBorders>
              <w:left w:val="single" w:sz="4" w:space="0" w:color="000000"/>
            </w:tcBorders>
            <w:vAlign w:val="center"/>
          </w:tcPr>
          <w:p w14:paraId="3306BAAE" w14:textId="77777777" w:rsidR="00304D39" w:rsidRPr="00385FD4" w:rsidRDefault="00304D39" w:rsidP="00BA6436">
            <w:pPr>
              <w:shd w:val="clear" w:color="auto" w:fill="FFFFFF"/>
              <w:spacing w:before="120" w:after="120"/>
              <w:ind w:left="1" w:hanging="3"/>
              <w:jc w:val="center"/>
            </w:pPr>
            <w:r w:rsidRPr="00385FD4">
              <w:rPr>
                <w:b/>
              </w:rPr>
              <w:t>Nhóm 1</w:t>
            </w:r>
          </w:p>
        </w:tc>
        <w:tc>
          <w:tcPr>
            <w:tcW w:w="957" w:type="pct"/>
            <w:vAlign w:val="center"/>
          </w:tcPr>
          <w:p w14:paraId="243470F7" w14:textId="77777777" w:rsidR="00304D39" w:rsidRPr="00385FD4" w:rsidRDefault="00304D39" w:rsidP="00BA6436">
            <w:pPr>
              <w:shd w:val="clear" w:color="auto" w:fill="FFFFFF"/>
              <w:spacing w:before="120" w:after="120"/>
              <w:ind w:left="1" w:hanging="3"/>
              <w:jc w:val="center"/>
            </w:pPr>
            <w:r w:rsidRPr="00385FD4">
              <w:rPr>
                <w:b/>
              </w:rPr>
              <w:t>Nhóm 2</w:t>
            </w:r>
          </w:p>
        </w:tc>
      </w:tr>
      <w:tr w:rsidR="00304D39" w:rsidRPr="00385FD4" w14:paraId="6BFFFDB4" w14:textId="77777777" w:rsidTr="00BA6436">
        <w:trPr>
          <w:trHeight w:val="460"/>
        </w:trPr>
        <w:tc>
          <w:tcPr>
            <w:tcW w:w="3086" w:type="pct"/>
            <w:vAlign w:val="center"/>
          </w:tcPr>
          <w:p w14:paraId="14D623A4" w14:textId="77777777" w:rsidR="00304D39" w:rsidRPr="00385FD4" w:rsidRDefault="00304D39" w:rsidP="00BA6436">
            <w:pPr>
              <w:shd w:val="clear" w:color="auto" w:fill="FFFFFF"/>
              <w:spacing w:before="120" w:after="120"/>
              <w:ind w:left="1" w:hanging="3"/>
              <w:jc w:val="both"/>
            </w:pPr>
            <w:r w:rsidRPr="00385FD4">
              <w:t xml:space="preserve">Trung học cơ sở </w:t>
            </w:r>
          </w:p>
        </w:tc>
        <w:tc>
          <w:tcPr>
            <w:tcW w:w="957" w:type="pct"/>
            <w:vAlign w:val="center"/>
          </w:tcPr>
          <w:p w14:paraId="7621F8BB" w14:textId="77777777" w:rsidR="00304D39" w:rsidRPr="00385FD4" w:rsidRDefault="00304D39" w:rsidP="00BA6436">
            <w:pPr>
              <w:shd w:val="clear" w:color="auto" w:fill="FFFFFF"/>
              <w:spacing w:before="120" w:after="120"/>
              <w:ind w:left="1" w:hanging="3"/>
              <w:jc w:val="center"/>
            </w:pPr>
            <w:r>
              <w:t>60</w:t>
            </w:r>
            <w:r w:rsidRPr="00385FD4">
              <w:t>.000</w:t>
            </w:r>
          </w:p>
        </w:tc>
        <w:tc>
          <w:tcPr>
            <w:tcW w:w="957" w:type="pct"/>
            <w:vAlign w:val="center"/>
          </w:tcPr>
          <w:p w14:paraId="105019F1" w14:textId="77777777" w:rsidR="00304D39" w:rsidRPr="00385FD4" w:rsidRDefault="00304D39" w:rsidP="00BA6436">
            <w:pPr>
              <w:shd w:val="clear" w:color="auto" w:fill="FFFFFF"/>
              <w:spacing w:before="120" w:after="120"/>
              <w:ind w:left="1" w:hanging="3"/>
              <w:jc w:val="center"/>
            </w:pPr>
            <w:r>
              <w:t>30</w:t>
            </w:r>
            <w:r w:rsidRPr="00385FD4">
              <w:t>.000</w:t>
            </w:r>
          </w:p>
        </w:tc>
      </w:tr>
      <w:tr w:rsidR="00304D39" w:rsidRPr="00385FD4" w14:paraId="394297F2" w14:textId="77777777" w:rsidTr="00BA6436">
        <w:trPr>
          <w:trHeight w:val="533"/>
        </w:trPr>
        <w:tc>
          <w:tcPr>
            <w:tcW w:w="3086" w:type="pct"/>
            <w:vAlign w:val="center"/>
          </w:tcPr>
          <w:p w14:paraId="56B4C359" w14:textId="77777777" w:rsidR="00304D39" w:rsidRPr="00385FD4" w:rsidRDefault="00304D39" w:rsidP="00BA6436">
            <w:pPr>
              <w:shd w:val="clear" w:color="auto" w:fill="FFFFFF"/>
              <w:spacing w:before="120" w:after="120"/>
              <w:ind w:left="1" w:hanging="3"/>
              <w:jc w:val="both"/>
            </w:pPr>
            <w:r w:rsidRPr="00385FD4">
              <w:t>Giáo dục thường xuyên Trung học cơ sở</w:t>
            </w:r>
          </w:p>
        </w:tc>
        <w:tc>
          <w:tcPr>
            <w:tcW w:w="957" w:type="pct"/>
            <w:vAlign w:val="center"/>
          </w:tcPr>
          <w:p w14:paraId="6FB708F7" w14:textId="77777777" w:rsidR="00304D39" w:rsidRPr="00385FD4" w:rsidRDefault="00304D39" w:rsidP="00BA6436">
            <w:pPr>
              <w:shd w:val="clear" w:color="auto" w:fill="FFFFFF"/>
              <w:spacing w:before="120" w:after="120"/>
              <w:ind w:left="1" w:hanging="3"/>
              <w:jc w:val="center"/>
            </w:pPr>
            <w:r>
              <w:t>6</w:t>
            </w:r>
            <w:r w:rsidRPr="00385FD4">
              <w:t>0.000</w:t>
            </w:r>
          </w:p>
        </w:tc>
        <w:tc>
          <w:tcPr>
            <w:tcW w:w="957" w:type="pct"/>
            <w:vAlign w:val="center"/>
          </w:tcPr>
          <w:p w14:paraId="5BDFF18D" w14:textId="77777777" w:rsidR="00304D39" w:rsidRPr="00385FD4" w:rsidRDefault="00304D39" w:rsidP="00BA6436">
            <w:pPr>
              <w:shd w:val="clear" w:color="auto" w:fill="FFFFFF"/>
              <w:spacing w:before="120" w:after="120"/>
              <w:ind w:left="1" w:hanging="3"/>
              <w:jc w:val="center"/>
            </w:pPr>
            <w:r>
              <w:t>30</w:t>
            </w:r>
            <w:r w:rsidRPr="00385FD4">
              <w:t>.000</w:t>
            </w:r>
          </w:p>
        </w:tc>
      </w:tr>
    </w:tbl>
    <w:p w14:paraId="4ACC0411" w14:textId="77777777" w:rsidR="00304D39" w:rsidRDefault="00304D39" w:rsidP="00304D39">
      <w:pPr>
        <w:spacing w:before="120" w:after="120"/>
        <w:ind w:left="-2" w:firstLine="722"/>
        <w:jc w:val="both"/>
      </w:pPr>
      <w:r>
        <w:t xml:space="preserve">+ </w:t>
      </w:r>
      <w:r>
        <w:rPr>
          <w:b/>
        </w:rPr>
        <w:t>Nhóm 1</w:t>
      </w:r>
      <w:r>
        <w:t xml:space="preserve">: Học sinh học tại các trường ở Thành phố Thủ Đức và các quận: 1, 3, 4, 5, 6, 7, 8, 10, 11, 12, Bình Thạnh, Phú Nhuận, Gò Vấp, Tân Bình, Tân Phú, Bình Tân. </w:t>
      </w:r>
    </w:p>
    <w:p w14:paraId="0FC4E243" w14:textId="77777777" w:rsidR="00304D39" w:rsidRDefault="00304D39" w:rsidP="00304D39">
      <w:pPr>
        <w:spacing w:before="120" w:after="120"/>
        <w:ind w:left="-2" w:firstLine="722"/>
        <w:jc w:val="both"/>
      </w:pPr>
      <w:r>
        <w:t xml:space="preserve">+ </w:t>
      </w:r>
      <w:r>
        <w:rPr>
          <w:b/>
        </w:rPr>
        <w:t>Nhóm 2</w:t>
      </w:r>
      <w:r>
        <w:t>: Học sinh học tại các trường ở các huyện: Bình Chánh, Hóc Môn, Củ Chi, Nhà Bè và Cần Giờ.</w:t>
      </w:r>
      <w:r>
        <w:tab/>
      </w:r>
    </w:p>
    <w:p w14:paraId="0F28CEE7" w14:textId="77777777" w:rsidR="00304D39" w:rsidRDefault="00304D39" w:rsidP="00304D39">
      <w:pPr>
        <w:spacing w:before="120" w:after="120"/>
        <w:ind w:left="-2" w:firstLine="722"/>
        <w:jc w:val="both"/>
      </w:pPr>
      <w:r>
        <w:t xml:space="preserve">+ </w:t>
      </w:r>
      <w:r w:rsidRPr="00D83906">
        <w:t>Trường hợp có sự trùng lặp về chính sách quy định tại Nghị quyết này với các văn bản quy phạm pháp luật khác thì áp dụng chính sách có mức hỗ trợ cao nhất.</w:t>
      </w:r>
    </w:p>
    <w:p w14:paraId="502610DF" w14:textId="56298920" w:rsidR="00304D39" w:rsidRDefault="00304D39" w:rsidP="00304D39">
      <w:pPr>
        <w:spacing w:before="48" w:after="48" w:line="264" w:lineRule="auto"/>
        <w:ind w:left="-2" w:firstLine="722"/>
        <w:jc w:val="both"/>
      </w:pPr>
      <w:r>
        <w:t xml:space="preserve">+ Thời gian áp dụng: 9 tháng năm học </w:t>
      </w:r>
      <w:r w:rsidRPr="004C261D">
        <w:t>202</w:t>
      </w:r>
      <w:r>
        <w:t>4</w:t>
      </w:r>
      <w:r w:rsidRPr="004C261D">
        <w:t xml:space="preserve"> – 202</w:t>
      </w:r>
      <w:r>
        <w:t>5.</w:t>
      </w:r>
    </w:p>
    <w:p w14:paraId="3121843F" w14:textId="77777777" w:rsidR="00652C2F" w:rsidRDefault="00652C2F" w:rsidP="00652C2F">
      <w:pPr>
        <w:pBdr>
          <w:top w:val="nil"/>
          <w:left w:val="nil"/>
          <w:bottom w:val="nil"/>
          <w:right w:val="nil"/>
          <w:between w:val="nil"/>
        </w:pBdr>
        <w:shd w:val="clear" w:color="auto" w:fill="FFFFFF"/>
        <w:spacing w:before="120" w:after="120"/>
        <w:ind w:firstLine="720"/>
        <w:jc w:val="both"/>
        <w:rPr>
          <w:b/>
          <w:color w:val="000000"/>
        </w:rPr>
      </w:pPr>
      <w:r>
        <w:rPr>
          <w:b/>
          <w:color w:val="000000"/>
        </w:rPr>
        <w:t>2.2. Đánh giá tác động của các giải pháp đối với đối tượng chịu sự tác động trực tiếp của chính sách và các đối tượng khác có liên quan</w:t>
      </w:r>
    </w:p>
    <w:p w14:paraId="6DDB2E3D" w14:textId="77777777" w:rsidR="00652C2F" w:rsidRDefault="00652C2F" w:rsidP="00652C2F">
      <w:pPr>
        <w:widowControl w:val="0"/>
        <w:pBdr>
          <w:top w:val="nil"/>
          <w:left w:val="nil"/>
          <w:bottom w:val="nil"/>
          <w:right w:val="nil"/>
          <w:between w:val="nil"/>
        </w:pBdr>
        <w:spacing w:before="120" w:after="120"/>
        <w:ind w:firstLine="720"/>
        <w:jc w:val="both"/>
        <w:rPr>
          <w:b/>
          <w:color w:val="000000"/>
        </w:rPr>
      </w:pPr>
      <w:r>
        <w:rPr>
          <w:b/>
          <w:color w:val="000000"/>
        </w:rPr>
        <w:t>a)</w:t>
      </w:r>
      <w:r w:rsidRPr="00342AAA">
        <w:rPr>
          <w:b/>
          <w:color w:val="000000"/>
        </w:rPr>
        <w:t xml:space="preserve"> </w:t>
      </w:r>
      <w:r w:rsidRPr="007F2278">
        <w:rPr>
          <w:b/>
          <w:color w:val="000000"/>
        </w:rPr>
        <w:t>Tác động đối với hệ thống pháp luật:</w:t>
      </w:r>
    </w:p>
    <w:p w14:paraId="48139784" w14:textId="350900E9" w:rsidR="00652C2F" w:rsidRDefault="00652C2F" w:rsidP="00652C2F">
      <w:pPr>
        <w:widowControl w:val="0"/>
        <w:pBdr>
          <w:top w:val="nil"/>
          <w:left w:val="nil"/>
          <w:bottom w:val="nil"/>
          <w:right w:val="nil"/>
          <w:between w:val="nil"/>
        </w:pBdr>
        <w:spacing w:before="120" w:after="120"/>
        <w:ind w:firstLine="720"/>
        <w:jc w:val="both"/>
        <w:rPr>
          <w:bCs/>
          <w:color w:val="000000"/>
        </w:rPr>
      </w:pPr>
      <w:r>
        <w:rPr>
          <w:bCs/>
          <w:color w:val="000000"/>
        </w:rPr>
        <w:t>- Tác động tích cực: C</w:t>
      </w:r>
      <w:r w:rsidRPr="00832953">
        <w:rPr>
          <w:bCs/>
          <w:color w:val="000000"/>
        </w:rPr>
        <w:t>ơ sở</w:t>
      </w:r>
      <w:r>
        <w:rPr>
          <w:bCs/>
          <w:color w:val="000000"/>
        </w:rPr>
        <w:t xml:space="preserve"> pháp lý để</w:t>
      </w:r>
      <w:r w:rsidRPr="00832953">
        <w:rPr>
          <w:bCs/>
          <w:color w:val="000000"/>
        </w:rPr>
        <w:t xml:space="preserve"> triển khai</w:t>
      </w:r>
      <w:r>
        <w:rPr>
          <w:bCs/>
          <w:color w:val="000000"/>
        </w:rPr>
        <w:t xml:space="preserve"> thực hiện</w:t>
      </w:r>
      <w:r w:rsidRPr="00832953">
        <w:rPr>
          <w:bCs/>
          <w:color w:val="000000"/>
        </w:rPr>
        <w:t xml:space="preserve"> </w:t>
      </w:r>
      <w:r w:rsidRPr="00652C2F">
        <w:rPr>
          <w:bCs/>
          <w:color w:val="000000"/>
        </w:rPr>
        <w:t>hỗ trợ học phí cho học sinh trung học cơ sở công lập, ngoài công lập và học viên giáo dục thường xuyên trung học cơ sở trên địa bàn Thành phố Hồ Chí Minh năm học 2024 – 2025</w:t>
      </w:r>
      <w:r>
        <w:rPr>
          <w:bCs/>
          <w:color w:val="000000"/>
        </w:rPr>
        <w:t>.</w:t>
      </w:r>
    </w:p>
    <w:p w14:paraId="70C7840B" w14:textId="3574CC34" w:rsidR="00652C2F" w:rsidRDefault="00652C2F" w:rsidP="006B7C04">
      <w:pPr>
        <w:pBdr>
          <w:top w:val="nil"/>
          <w:left w:val="nil"/>
          <w:bottom w:val="nil"/>
          <w:right w:val="nil"/>
          <w:between w:val="nil"/>
        </w:pBdr>
        <w:shd w:val="clear" w:color="auto" w:fill="FFFFFF"/>
        <w:spacing w:before="120" w:after="120"/>
        <w:ind w:firstLine="720"/>
        <w:jc w:val="both"/>
        <w:rPr>
          <w:color w:val="000000"/>
        </w:rPr>
      </w:pPr>
      <w:r>
        <w:rPr>
          <w:bCs/>
          <w:color w:val="000000"/>
        </w:rPr>
        <w:lastRenderedPageBreak/>
        <w:t>- Tác động tiêu cực: Không có</w:t>
      </w:r>
      <w:r>
        <w:rPr>
          <w:bCs/>
        </w:rPr>
        <w:t>.</w:t>
      </w:r>
      <w:r>
        <w:rPr>
          <w:color w:val="000000"/>
        </w:rPr>
        <w:t xml:space="preserve">  </w:t>
      </w:r>
    </w:p>
    <w:p w14:paraId="748F2A30" w14:textId="77777777" w:rsidR="00652C2F" w:rsidRPr="00342AAA" w:rsidRDefault="00652C2F" w:rsidP="00652C2F">
      <w:pPr>
        <w:widowControl w:val="0"/>
        <w:pBdr>
          <w:top w:val="nil"/>
          <w:left w:val="nil"/>
          <w:bottom w:val="nil"/>
          <w:right w:val="nil"/>
          <w:between w:val="nil"/>
        </w:pBdr>
        <w:spacing w:before="120" w:after="120"/>
        <w:ind w:firstLine="720"/>
        <w:jc w:val="both"/>
        <w:rPr>
          <w:b/>
          <w:color w:val="000000"/>
        </w:rPr>
      </w:pPr>
      <w:r>
        <w:rPr>
          <w:b/>
          <w:color w:val="000000"/>
        </w:rPr>
        <w:t>b)</w:t>
      </w:r>
      <w:r w:rsidRPr="00342AAA">
        <w:rPr>
          <w:b/>
          <w:color w:val="000000"/>
        </w:rPr>
        <w:t xml:space="preserve"> </w:t>
      </w:r>
      <w:r w:rsidRPr="007F2278">
        <w:rPr>
          <w:b/>
          <w:color w:val="000000"/>
        </w:rPr>
        <w:t>Tác động về kinh tế - xã hội:</w:t>
      </w:r>
    </w:p>
    <w:p w14:paraId="12EF8806" w14:textId="706ACA66" w:rsidR="00652C2F" w:rsidRDefault="00652C2F" w:rsidP="00652C2F">
      <w:pPr>
        <w:spacing w:before="120" w:after="120"/>
        <w:ind w:firstLine="720"/>
        <w:jc w:val="both"/>
      </w:pPr>
      <w:r>
        <w:rPr>
          <w:color w:val="000000"/>
        </w:rPr>
        <w:t xml:space="preserve">- Tác động tích cực: </w:t>
      </w:r>
      <w:r>
        <w:t>Trên cơ sở tiếp tục kế thừa và phát huy chính sách đặc thù hỗ trợ 100% học phí cho học sinh trung học cơ sở đã nhận được phản ứng tích cực từ dư luận xã hội trong năm học 2023-2024, tạo tiền đề thực hiện lộ trình phổ cập giáo dục trung học cơ sở theo quy định của Luật Giáo dục năm 2019, Nghị định số 81/2021/NĐ-CP; phù hợp với tình hình kinh tế  - xã hội của Thành phố trong giai đoạn mới; từ đó thể hiện rõ sự quan tâm đầu tư của Thành phố cho giáo dục, đi đầu trong các chính sách miễn giảm, hỗ trợ học phí, đảm bảo chất lượng giáo dục và cơ hội học tập cho người dân; thực hiện tốt các nhiệm vụ sau khi gia nhập Mạng lưới thành phố học tập toàn cầu của UNESCO, thực hiện có hiệu quả Chiến lược phát triển giáo dục Thành phố Hồ Chí Minh từ nay đến năm 2030, tầm nhìn đến năm 2045 theo Quyết định số 192/QĐ-UBND ngày 16 tháng 01 năm 2024 của Ủy ban nhân dân Thành phố Hồ Chí Minh,</w:t>
      </w:r>
      <w:r w:rsidR="00BE3D8E">
        <w:t xml:space="preserve"> được người dân Thành phố đồng tình, ủng hộ.</w:t>
      </w:r>
    </w:p>
    <w:p w14:paraId="77CC191E" w14:textId="489B34C1" w:rsidR="00BE3D8E" w:rsidRDefault="00BE3D8E" w:rsidP="00BE3D8E">
      <w:pPr>
        <w:widowControl w:val="0"/>
        <w:pBdr>
          <w:top w:val="nil"/>
          <w:left w:val="nil"/>
          <w:bottom w:val="nil"/>
          <w:right w:val="nil"/>
          <w:between w:val="nil"/>
        </w:pBdr>
        <w:spacing w:before="120" w:after="120"/>
        <w:ind w:firstLine="720"/>
        <w:jc w:val="both"/>
      </w:pPr>
      <w:r w:rsidRPr="005A0696">
        <w:rPr>
          <w:iCs/>
          <w:color w:val="000000"/>
        </w:rPr>
        <w:t xml:space="preserve">Đồng thời, </w:t>
      </w:r>
      <w:r w:rsidR="000C4BBF">
        <w:rPr>
          <w:iCs/>
          <w:color w:val="000000"/>
        </w:rPr>
        <w:t xml:space="preserve">dự toán nguồn lực </w:t>
      </w:r>
      <w:r w:rsidRPr="005A0696">
        <w:rPr>
          <w:iCs/>
          <w:color w:val="000000"/>
        </w:rPr>
        <w:t xml:space="preserve">thực hiện chính sách hỗ trợ học phí nêu trên </w:t>
      </w:r>
      <w:r w:rsidR="000C4BBF">
        <w:rPr>
          <w:iCs/>
          <w:color w:val="000000"/>
        </w:rPr>
        <w:t>là 235 tỷ đồng,</w:t>
      </w:r>
      <w:r w:rsidRPr="005A0696">
        <w:rPr>
          <w:iCs/>
          <w:color w:val="000000"/>
        </w:rPr>
        <w:t xml:space="preserve"> phù hợp với </w:t>
      </w:r>
      <w:r w:rsidR="000C4BBF">
        <w:rPr>
          <w:iCs/>
          <w:color w:val="000000"/>
        </w:rPr>
        <w:t>nguồn lực</w:t>
      </w:r>
      <w:r w:rsidRPr="005A0696">
        <w:rPr>
          <w:iCs/>
          <w:color w:val="000000"/>
        </w:rPr>
        <w:t xml:space="preserve"> ngân sách của </w:t>
      </w:r>
      <w:r w:rsidR="009F2E05">
        <w:rPr>
          <w:iCs/>
          <w:color w:val="000000"/>
        </w:rPr>
        <w:t>T</w:t>
      </w:r>
      <w:r w:rsidRPr="005A0696">
        <w:rPr>
          <w:iCs/>
          <w:color w:val="000000"/>
        </w:rPr>
        <w:t>hành phố.</w:t>
      </w:r>
    </w:p>
    <w:p w14:paraId="7B0624F3" w14:textId="76CE6E70" w:rsidR="00652C2F" w:rsidRDefault="00652C2F" w:rsidP="00652C2F">
      <w:pPr>
        <w:widowControl w:val="0"/>
        <w:pBdr>
          <w:top w:val="nil"/>
          <w:left w:val="nil"/>
          <w:bottom w:val="nil"/>
          <w:right w:val="nil"/>
          <w:between w:val="nil"/>
        </w:pBdr>
        <w:spacing w:before="120" w:after="120"/>
        <w:ind w:firstLine="567"/>
        <w:jc w:val="both"/>
        <w:rPr>
          <w:color w:val="000000"/>
        </w:rPr>
      </w:pPr>
      <w:r>
        <w:rPr>
          <w:color w:val="000000"/>
        </w:rPr>
        <w:t xml:space="preserve">- </w:t>
      </w:r>
      <w:r w:rsidRPr="00B875DE">
        <w:rPr>
          <w:color w:val="000000"/>
        </w:rPr>
        <w:t xml:space="preserve">Tác động tiêu cực: </w:t>
      </w:r>
      <w:r w:rsidR="00BE3D8E">
        <w:t>Không có</w:t>
      </w:r>
      <w:r>
        <w:rPr>
          <w:color w:val="000000"/>
        </w:rPr>
        <w:t>.</w:t>
      </w:r>
    </w:p>
    <w:p w14:paraId="35C46B86" w14:textId="77777777" w:rsidR="00652C2F" w:rsidRDefault="00652C2F" w:rsidP="00652C2F">
      <w:pPr>
        <w:widowControl w:val="0"/>
        <w:pBdr>
          <w:top w:val="nil"/>
          <w:left w:val="nil"/>
          <w:bottom w:val="nil"/>
          <w:right w:val="nil"/>
          <w:between w:val="nil"/>
        </w:pBdr>
        <w:tabs>
          <w:tab w:val="left" w:pos="567"/>
        </w:tabs>
        <w:spacing w:before="120" w:after="120"/>
        <w:jc w:val="both"/>
        <w:rPr>
          <w:bCs/>
          <w:iCs/>
          <w:lang w:eastAsia="x-none"/>
        </w:rPr>
      </w:pPr>
      <w:r>
        <w:rPr>
          <w:b/>
          <w:bCs/>
          <w:color w:val="000000"/>
        </w:rPr>
        <w:tab/>
      </w:r>
      <w:r w:rsidRPr="00672B5A">
        <w:rPr>
          <w:b/>
          <w:bCs/>
          <w:color w:val="000000"/>
        </w:rPr>
        <w:t xml:space="preserve">c) Tác động về giới: </w:t>
      </w:r>
      <w:r>
        <w:rPr>
          <w:bCs/>
          <w:iCs/>
          <w:lang w:eastAsia="x-none"/>
        </w:rPr>
        <w:t>Không có</w:t>
      </w:r>
      <w:r w:rsidRPr="00556335">
        <w:rPr>
          <w:bCs/>
          <w:iCs/>
          <w:lang w:eastAsia="x-none"/>
        </w:rPr>
        <w:t>.</w:t>
      </w:r>
    </w:p>
    <w:p w14:paraId="666AF8F8" w14:textId="686FA94F" w:rsidR="00652C2F" w:rsidRDefault="00652C2F" w:rsidP="00BE3D8E">
      <w:pPr>
        <w:widowControl w:val="0"/>
        <w:pBdr>
          <w:top w:val="nil"/>
          <w:left w:val="nil"/>
          <w:bottom w:val="nil"/>
          <w:right w:val="nil"/>
          <w:between w:val="nil"/>
        </w:pBdr>
        <w:tabs>
          <w:tab w:val="left" w:pos="567"/>
        </w:tabs>
        <w:spacing w:before="120" w:after="120"/>
        <w:jc w:val="both"/>
        <w:rPr>
          <w:b/>
          <w:color w:val="000000"/>
        </w:rPr>
      </w:pPr>
      <w:r w:rsidRPr="00672B5A">
        <w:rPr>
          <w:b/>
          <w:bCs/>
        </w:rPr>
        <w:tab/>
        <w:t>d) Về thủ tục hành</w:t>
      </w:r>
      <w:r w:rsidRPr="00672B5A">
        <w:rPr>
          <w:b/>
          <w:bCs/>
          <w:spacing w:val="-7"/>
        </w:rPr>
        <w:t xml:space="preserve"> </w:t>
      </w:r>
      <w:r w:rsidRPr="00672B5A">
        <w:rPr>
          <w:b/>
          <w:bCs/>
        </w:rPr>
        <w:t>chính:</w:t>
      </w:r>
      <w:r>
        <w:rPr>
          <w:bCs/>
        </w:rPr>
        <w:t xml:space="preserve"> </w:t>
      </w:r>
      <w:r w:rsidRPr="00556335">
        <w:rPr>
          <w:bCs/>
          <w:iCs/>
          <w:lang w:eastAsia="x-none"/>
        </w:rPr>
        <w:t>Việc triển khai thực hiện chính sách không làm phát sinh thủ tục hành chính.</w:t>
      </w:r>
    </w:p>
    <w:p w14:paraId="0214F2D9" w14:textId="77777777" w:rsidR="00BE3D8E" w:rsidRDefault="00BE3D8E" w:rsidP="00BE3D8E">
      <w:pPr>
        <w:pBdr>
          <w:top w:val="nil"/>
          <w:left w:val="nil"/>
          <w:bottom w:val="nil"/>
          <w:right w:val="nil"/>
          <w:between w:val="nil"/>
        </w:pBdr>
        <w:shd w:val="clear" w:color="auto" w:fill="FFFFFF"/>
        <w:spacing w:before="120" w:after="120"/>
        <w:ind w:firstLine="567"/>
        <w:rPr>
          <w:b/>
          <w:color w:val="000000"/>
        </w:rPr>
      </w:pPr>
      <w:bookmarkStart w:id="0" w:name="_heading=h.27mlm3rpp4pc" w:colFirst="0" w:colLast="0"/>
      <w:bookmarkEnd w:id="0"/>
      <w:r>
        <w:rPr>
          <w:b/>
          <w:color w:val="000000"/>
        </w:rPr>
        <w:t>III. PHỤ LỤC</w:t>
      </w:r>
    </w:p>
    <w:p w14:paraId="78B53197" w14:textId="77777777" w:rsidR="00BE3D8E" w:rsidRDefault="00BE3D8E" w:rsidP="00BE3D8E">
      <w:pPr>
        <w:widowControl w:val="0"/>
        <w:pBdr>
          <w:top w:val="nil"/>
          <w:left w:val="nil"/>
          <w:bottom w:val="nil"/>
          <w:right w:val="nil"/>
          <w:between w:val="nil"/>
        </w:pBdr>
        <w:spacing w:before="120" w:after="120"/>
        <w:ind w:firstLine="720"/>
        <w:jc w:val="both"/>
        <w:rPr>
          <w:color w:val="000000"/>
        </w:rPr>
      </w:pPr>
      <w:r>
        <w:rPr>
          <w:color w:val="000000"/>
        </w:rPr>
        <w:t>Không có.</w:t>
      </w:r>
    </w:p>
    <w:p w14:paraId="5A3C67FD" w14:textId="63B34AE6" w:rsidR="00BE3D8E" w:rsidRDefault="00BE3D8E" w:rsidP="00BE3D8E">
      <w:pPr>
        <w:spacing w:before="120" w:after="120"/>
        <w:ind w:firstLine="567"/>
        <w:jc w:val="both"/>
      </w:pPr>
      <w:bookmarkStart w:id="1" w:name="_heading=h.gjdgxs" w:colFirst="0" w:colLast="0"/>
      <w:bookmarkEnd w:id="1"/>
      <w:r>
        <w:t xml:space="preserve">Trên đây là </w:t>
      </w:r>
      <w:r>
        <w:rPr>
          <w:highlight w:val="white"/>
        </w:rPr>
        <w:t xml:space="preserve">đánh giá tác động của </w:t>
      </w:r>
      <w:r>
        <w:rPr>
          <w:color w:val="000000"/>
          <w:highlight w:val="white"/>
        </w:rPr>
        <w:t>Ủy ban nhân dân Thành phố</w:t>
      </w:r>
      <w:r>
        <w:t xml:space="preserve"> đối với </w:t>
      </w:r>
      <w:r>
        <w:rPr>
          <w:highlight w:val="white"/>
        </w:rPr>
        <w:t xml:space="preserve">các vấn đề liên quan trong đề xuất ban hành </w:t>
      </w:r>
      <w:r>
        <w:t xml:space="preserve">Nghị quyết về </w:t>
      </w:r>
      <w:r w:rsidR="00436BA6" w:rsidRPr="00436BA6">
        <w:t>về chính sách đặc thù hỗ trợ học phí cho học sinh trung học cơ sở công lập, ngoài công lập và học viên giáo dục thường xuyên trung học cơ sở trên địa bàn Thành phố Hồ Chí Minh năm học 2024 – 2025</w:t>
      </w:r>
      <w:r>
        <w:t>./.</w:t>
      </w:r>
    </w:p>
    <w:p w14:paraId="0C8455EA" w14:textId="77777777" w:rsidR="005D096E" w:rsidRDefault="005D096E">
      <w:pPr>
        <w:spacing w:before="120" w:after="120"/>
        <w:ind w:firstLine="567"/>
        <w:jc w:val="both"/>
      </w:pPr>
    </w:p>
    <w:tbl>
      <w:tblPr>
        <w:tblStyle w:val="a0"/>
        <w:tblW w:w="9520" w:type="dxa"/>
        <w:tblLayout w:type="fixed"/>
        <w:tblLook w:val="0000" w:firstRow="0" w:lastRow="0" w:firstColumn="0" w:lastColumn="0" w:noHBand="0" w:noVBand="0"/>
      </w:tblPr>
      <w:tblGrid>
        <w:gridCol w:w="4730"/>
        <w:gridCol w:w="4790"/>
      </w:tblGrid>
      <w:tr w:rsidR="00BE3D8E" w14:paraId="2F447924" w14:textId="77777777" w:rsidTr="00BA6436">
        <w:trPr>
          <w:trHeight w:val="2052"/>
        </w:trPr>
        <w:tc>
          <w:tcPr>
            <w:tcW w:w="4730" w:type="dxa"/>
          </w:tcPr>
          <w:p w14:paraId="6CFD4BE4" w14:textId="77777777" w:rsidR="00BE3D8E" w:rsidRPr="00621366" w:rsidRDefault="00BE3D8E" w:rsidP="00BA6436">
            <w:pPr>
              <w:jc w:val="both"/>
              <w:rPr>
                <w:b/>
                <w:i/>
                <w:sz w:val="24"/>
                <w:szCs w:val="24"/>
              </w:rPr>
            </w:pPr>
            <w:bookmarkStart w:id="2" w:name="_Hlk170134853"/>
            <w:r w:rsidRPr="00621366">
              <w:rPr>
                <w:b/>
                <w:i/>
                <w:sz w:val="24"/>
                <w:szCs w:val="24"/>
              </w:rPr>
              <w:t>Nơi nhận :</w:t>
            </w:r>
          </w:p>
          <w:p w14:paraId="4C5551C1" w14:textId="7BB0FE75" w:rsidR="00BE3D8E" w:rsidRPr="00F72312" w:rsidRDefault="00BE3D8E" w:rsidP="00BA6436">
            <w:pPr>
              <w:jc w:val="both"/>
              <w:rPr>
                <w:sz w:val="22"/>
                <w:szCs w:val="22"/>
              </w:rPr>
            </w:pPr>
            <w:r>
              <w:rPr>
                <w:sz w:val="22"/>
                <w:szCs w:val="22"/>
              </w:rPr>
              <w:t xml:space="preserve">- </w:t>
            </w:r>
            <w:r w:rsidRPr="00F72312">
              <w:rPr>
                <w:sz w:val="22"/>
                <w:szCs w:val="22"/>
              </w:rPr>
              <w:t xml:space="preserve">Thường trực HĐND </w:t>
            </w:r>
            <w:r w:rsidR="000A62E6">
              <w:rPr>
                <w:sz w:val="22"/>
                <w:szCs w:val="22"/>
              </w:rPr>
              <w:t>TPHCM</w:t>
            </w:r>
            <w:r w:rsidRPr="00F72312">
              <w:rPr>
                <w:sz w:val="22"/>
                <w:szCs w:val="22"/>
              </w:rPr>
              <w:t>;</w:t>
            </w:r>
          </w:p>
          <w:p w14:paraId="002E308F" w14:textId="77777777" w:rsidR="00BE3D8E" w:rsidRDefault="00BE3D8E" w:rsidP="00BA6436">
            <w:pPr>
              <w:jc w:val="both"/>
              <w:rPr>
                <w:sz w:val="22"/>
                <w:szCs w:val="22"/>
              </w:rPr>
            </w:pPr>
            <w:r w:rsidRPr="00F72312">
              <w:rPr>
                <w:sz w:val="22"/>
                <w:szCs w:val="22"/>
              </w:rPr>
              <w:t>- UBND T</w:t>
            </w:r>
            <w:r>
              <w:rPr>
                <w:sz w:val="22"/>
                <w:szCs w:val="22"/>
              </w:rPr>
              <w:t>P</w:t>
            </w:r>
            <w:r w:rsidRPr="00F72312">
              <w:rPr>
                <w:sz w:val="22"/>
                <w:szCs w:val="22"/>
              </w:rPr>
              <w:t>: CT, các PCT;</w:t>
            </w:r>
          </w:p>
          <w:p w14:paraId="07099074" w14:textId="646B44E8" w:rsidR="00BE3D8E" w:rsidRPr="00F72312" w:rsidRDefault="00BE3D8E" w:rsidP="00BA6436">
            <w:pPr>
              <w:jc w:val="both"/>
              <w:rPr>
                <w:sz w:val="22"/>
                <w:szCs w:val="22"/>
              </w:rPr>
            </w:pPr>
            <w:r w:rsidRPr="00F72312">
              <w:rPr>
                <w:sz w:val="22"/>
                <w:szCs w:val="22"/>
              </w:rPr>
              <w:t xml:space="preserve">- Văn phòng ĐĐBQH và HĐND </w:t>
            </w:r>
            <w:r w:rsidR="000A62E6">
              <w:rPr>
                <w:sz w:val="22"/>
                <w:szCs w:val="22"/>
              </w:rPr>
              <w:t>TPHCM</w:t>
            </w:r>
            <w:r w:rsidRPr="00F72312">
              <w:rPr>
                <w:sz w:val="22"/>
                <w:szCs w:val="22"/>
              </w:rPr>
              <w:t>;</w:t>
            </w:r>
          </w:p>
          <w:p w14:paraId="14F775F5" w14:textId="77777777" w:rsidR="00BE3D8E" w:rsidRDefault="00BE3D8E" w:rsidP="00BA6436">
            <w:pPr>
              <w:jc w:val="both"/>
              <w:rPr>
                <w:sz w:val="22"/>
                <w:szCs w:val="22"/>
              </w:rPr>
            </w:pPr>
            <w:r w:rsidRPr="00F72312">
              <w:rPr>
                <w:sz w:val="22"/>
                <w:szCs w:val="22"/>
              </w:rPr>
              <w:t>- Văn phòng UBND TP</w:t>
            </w:r>
            <w:r>
              <w:rPr>
                <w:sz w:val="22"/>
                <w:szCs w:val="22"/>
              </w:rPr>
              <w:t>;</w:t>
            </w:r>
            <w:r w:rsidRPr="00F72312">
              <w:rPr>
                <w:sz w:val="22"/>
                <w:szCs w:val="22"/>
              </w:rPr>
              <w:t xml:space="preserve"> </w:t>
            </w:r>
          </w:p>
          <w:p w14:paraId="7474E240" w14:textId="77777777" w:rsidR="00BE3D8E" w:rsidRDefault="00BE3D8E" w:rsidP="00BA6436">
            <w:pPr>
              <w:jc w:val="both"/>
              <w:rPr>
                <w:sz w:val="22"/>
                <w:szCs w:val="22"/>
              </w:rPr>
            </w:pPr>
            <w:r>
              <w:rPr>
                <w:sz w:val="22"/>
                <w:szCs w:val="22"/>
              </w:rPr>
              <w:t xml:space="preserve">- Sở Tư pháp; Tài chính; </w:t>
            </w:r>
          </w:p>
          <w:p w14:paraId="4318B34A" w14:textId="77777777" w:rsidR="00BE3D8E" w:rsidRDefault="00BE3D8E" w:rsidP="00BA6436">
            <w:pPr>
              <w:jc w:val="both"/>
              <w:rPr>
                <w:sz w:val="26"/>
                <w:szCs w:val="26"/>
              </w:rPr>
            </w:pPr>
            <w:r>
              <w:rPr>
                <w:sz w:val="22"/>
                <w:szCs w:val="22"/>
              </w:rPr>
              <w:t xml:space="preserve">- Lưu: VT, VX.                                                                     </w:t>
            </w:r>
          </w:p>
        </w:tc>
        <w:tc>
          <w:tcPr>
            <w:tcW w:w="4790" w:type="dxa"/>
          </w:tcPr>
          <w:p w14:paraId="25A2EDAF" w14:textId="77777777" w:rsidR="00BE3D8E" w:rsidRDefault="00BE3D8E" w:rsidP="00BA6436">
            <w:pPr>
              <w:ind w:right="-43"/>
              <w:jc w:val="center"/>
              <w:rPr>
                <w:b/>
              </w:rPr>
            </w:pPr>
            <w:r>
              <w:rPr>
                <w:b/>
              </w:rPr>
              <w:t>KT. CHỦ TỊCH</w:t>
            </w:r>
          </w:p>
          <w:p w14:paraId="76851735" w14:textId="77777777" w:rsidR="00BE3D8E" w:rsidRDefault="00BE3D8E" w:rsidP="00BA6436">
            <w:pPr>
              <w:ind w:right="-43"/>
              <w:jc w:val="center"/>
              <w:rPr>
                <w:b/>
              </w:rPr>
            </w:pPr>
            <w:r>
              <w:rPr>
                <w:b/>
              </w:rPr>
              <w:t>PHÓ CHỦ TỊCH</w:t>
            </w:r>
          </w:p>
          <w:p w14:paraId="6AD834C7" w14:textId="77777777" w:rsidR="00BE3D8E" w:rsidRDefault="00BE3D8E" w:rsidP="00BA6436">
            <w:pPr>
              <w:ind w:right="-43"/>
              <w:jc w:val="center"/>
              <w:rPr>
                <w:b/>
              </w:rPr>
            </w:pPr>
          </w:p>
          <w:p w14:paraId="036D9F1F" w14:textId="77777777" w:rsidR="00BE3D8E" w:rsidRDefault="00BE3D8E" w:rsidP="00BA6436">
            <w:pPr>
              <w:ind w:right="-43"/>
              <w:jc w:val="center"/>
              <w:rPr>
                <w:b/>
              </w:rPr>
            </w:pPr>
          </w:p>
          <w:p w14:paraId="1F7E203C" w14:textId="77777777" w:rsidR="00BE3D8E" w:rsidRDefault="00BE3D8E" w:rsidP="00BA6436">
            <w:pPr>
              <w:ind w:right="-43"/>
              <w:rPr>
                <w:b/>
              </w:rPr>
            </w:pPr>
          </w:p>
          <w:p w14:paraId="44A76B93" w14:textId="77777777" w:rsidR="00BE3D8E" w:rsidRDefault="00BE3D8E" w:rsidP="00BA6436">
            <w:pPr>
              <w:ind w:right="-43"/>
              <w:rPr>
                <w:b/>
              </w:rPr>
            </w:pPr>
          </w:p>
          <w:p w14:paraId="65D6AEB5" w14:textId="77777777" w:rsidR="00BE3D8E" w:rsidRDefault="00BE3D8E" w:rsidP="00BA6436">
            <w:pPr>
              <w:ind w:right="-43"/>
              <w:rPr>
                <w:b/>
              </w:rPr>
            </w:pPr>
          </w:p>
          <w:p w14:paraId="77F93A74" w14:textId="77777777" w:rsidR="00BE3D8E" w:rsidRDefault="00BE3D8E" w:rsidP="00BA6436">
            <w:pPr>
              <w:ind w:right="-43"/>
              <w:rPr>
                <w:b/>
              </w:rPr>
            </w:pPr>
            <w:r>
              <w:rPr>
                <w:b/>
              </w:rPr>
              <w:t xml:space="preserve">                </w:t>
            </w:r>
            <w:r w:rsidRPr="00616D19">
              <w:rPr>
                <w:b/>
              </w:rPr>
              <w:t>Trần Thị Diệu Thúy</w:t>
            </w:r>
          </w:p>
        </w:tc>
      </w:tr>
    </w:tbl>
    <w:bookmarkEnd w:id="2"/>
    <w:p w14:paraId="0C0DCD4C" w14:textId="77777777" w:rsidR="00876167" w:rsidRDefault="00C97857">
      <w:pPr>
        <w:rPr>
          <w:sz w:val="24"/>
          <w:szCs w:val="24"/>
        </w:rPr>
      </w:pPr>
      <w:r>
        <w:rPr>
          <w:sz w:val="24"/>
          <w:szCs w:val="24"/>
        </w:rPr>
        <w:t xml:space="preserve"> </w:t>
      </w:r>
    </w:p>
    <w:p w14:paraId="1F69992D" w14:textId="77777777" w:rsidR="00876167" w:rsidRDefault="00876167">
      <w:pPr>
        <w:rPr>
          <w:sz w:val="24"/>
          <w:szCs w:val="24"/>
        </w:rPr>
      </w:pPr>
    </w:p>
    <w:p w14:paraId="1E0859FC" w14:textId="77777777" w:rsidR="00876167" w:rsidRDefault="00876167">
      <w:pPr>
        <w:rPr>
          <w:sz w:val="24"/>
          <w:szCs w:val="24"/>
        </w:rPr>
      </w:pPr>
    </w:p>
    <w:p w14:paraId="23ED3EB3" w14:textId="77777777" w:rsidR="00876167" w:rsidRDefault="00876167">
      <w:pPr>
        <w:rPr>
          <w:sz w:val="24"/>
          <w:szCs w:val="24"/>
        </w:rPr>
      </w:pPr>
    </w:p>
    <w:p w14:paraId="793CAB0D" w14:textId="77777777" w:rsidR="00876167" w:rsidRDefault="00876167">
      <w:pPr>
        <w:rPr>
          <w:sz w:val="24"/>
          <w:szCs w:val="24"/>
        </w:rPr>
      </w:pPr>
    </w:p>
    <w:sectPr w:rsidR="00876167" w:rsidSect="006B7C04">
      <w:headerReference w:type="default" r:id="rId9"/>
      <w:footerReference w:type="default" r:id="rId10"/>
      <w:pgSz w:w="11907" w:h="16839"/>
      <w:pgMar w:top="1134" w:right="851"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B4238" w14:textId="77777777" w:rsidR="00F959A1" w:rsidRDefault="00F959A1">
      <w:r>
        <w:separator/>
      </w:r>
    </w:p>
  </w:endnote>
  <w:endnote w:type="continuationSeparator" w:id="0">
    <w:p w14:paraId="535F01D3" w14:textId="77777777" w:rsidR="00F959A1" w:rsidRDefault="00F9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EAE2C" w14:textId="77777777" w:rsidR="005D096E" w:rsidRDefault="005D096E">
    <w:pPr>
      <w:pBdr>
        <w:top w:val="nil"/>
        <w:left w:val="nil"/>
        <w:bottom w:val="nil"/>
        <w:right w:val="nil"/>
        <w:between w:val="nil"/>
      </w:pBdr>
      <w:tabs>
        <w:tab w:val="center" w:pos="4680"/>
        <w:tab w:val="right" w:pos="9360"/>
      </w:tabs>
      <w:jc w:val="right"/>
      <w:rPr>
        <w:color w:val="000000"/>
      </w:rPr>
    </w:pPr>
  </w:p>
  <w:p w14:paraId="47DC788B" w14:textId="77777777" w:rsidR="005D096E" w:rsidRDefault="005D096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0061F" w14:textId="77777777" w:rsidR="00F959A1" w:rsidRDefault="00F959A1">
      <w:r>
        <w:separator/>
      </w:r>
    </w:p>
  </w:footnote>
  <w:footnote w:type="continuationSeparator" w:id="0">
    <w:p w14:paraId="3C969873" w14:textId="77777777" w:rsidR="00F959A1" w:rsidRDefault="00F95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F9F23" w14:textId="77777777" w:rsidR="005D096E" w:rsidRDefault="00C9785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11B04">
      <w:rPr>
        <w:noProof/>
        <w:color w:val="000000"/>
      </w:rPr>
      <w:t>2</w:t>
    </w:r>
    <w:r>
      <w:rPr>
        <w:color w:val="000000"/>
      </w:rPr>
      <w:fldChar w:fldCharType="end"/>
    </w:r>
  </w:p>
  <w:p w14:paraId="0DE8C514" w14:textId="77777777" w:rsidR="005D096E" w:rsidRDefault="005D096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8150D"/>
    <w:multiLevelType w:val="multilevel"/>
    <w:tmpl w:val="A57637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3334B5D"/>
    <w:multiLevelType w:val="multilevel"/>
    <w:tmpl w:val="C5004D9E"/>
    <w:lvl w:ilvl="0">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16cid:durableId="1951621675">
    <w:abstractNumId w:val="0"/>
  </w:num>
  <w:num w:numId="2" w16cid:durableId="1731347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96E"/>
    <w:rsid w:val="00006E42"/>
    <w:rsid w:val="000273F6"/>
    <w:rsid w:val="00030561"/>
    <w:rsid w:val="000530A9"/>
    <w:rsid w:val="000A3DD9"/>
    <w:rsid w:val="000A62E6"/>
    <w:rsid w:val="000C4BBF"/>
    <w:rsid w:val="000C4D2E"/>
    <w:rsid w:val="00111B04"/>
    <w:rsid w:val="001425D0"/>
    <w:rsid w:val="00167D98"/>
    <w:rsid w:val="00170130"/>
    <w:rsid w:val="00196204"/>
    <w:rsid w:val="001F466F"/>
    <w:rsid w:val="001F6039"/>
    <w:rsid w:val="002341EF"/>
    <w:rsid w:val="00263FBC"/>
    <w:rsid w:val="002E6725"/>
    <w:rsid w:val="002F471A"/>
    <w:rsid w:val="00304D39"/>
    <w:rsid w:val="00311BE2"/>
    <w:rsid w:val="003303B7"/>
    <w:rsid w:val="00372598"/>
    <w:rsid w:val="003A5F7F"/>
    <w:rsid w:val="003D28A0"/>
    <w:rsid w:val="003F0E08"/>
    <w:rsid w:val="0041422B"/>
    <w:rsid w:val="00436BA6"/>
    <w:rsid w:val="004E57D2"/>
    <w:rsid w:val="00553859"/>
    <w:rsid w:val="005A0696"/>
    <w:rsid w:val="005A194F"/>
    <w:rsid w:val="005D096E"/>
    <w:rsid w:val="00621366"/>
    <w:rsid w:val="006304BF"/>
    <w:rsid w:val="00652C2F"/>
    <w:rsid w:val="00664A01"/>
    <w:rsid w:val="006720A4"/>
    <w:rsid w:val="00685738"/>
    <w:rsid w:val="0069026C"/>
    <w:rsid w:val="00690523"/>
    <w:rsid w:val="006A7F82"/>
    <w:rsid w:val="006B7C04"/>
    <w:rsid w:val="00712553"/>
    <w:rsid w:val="007921C6"/>
    <w:rsid w:val="007C0999"/>
    <w:rsid w:val="007C3843"/>
    <w:rsid w:val="007E3432"/>
    <w:rsid w:val="00800D2D"/>
    <w:rsid w:val="0084756C"/>
    <w:rsid w:val="00855A3E"/>
    <w:rsid w:val="008712FF"/>
    <w:rsid w:val="00871D03"/>
    <w:rsid w:val="008733B4"/>
    <w:rsid w:val="00874697"/>
    <w:rsid w:val="008751E1"/>
    <w:rsid w:val="00876167"/>
    <w:rsid w:val="00883E48"/>
    <w:rsid w:val="009909DE"/>
    <w:rsid w:val="0099267B"/>
    <w:rsid w:val="009A6014"/>
    <w:rsid w:val="009B658E"/>
    <w:rsid w:val="009F2E05"/>
    <w:rsid w:val="00A763C1"/>
    <w:rsid w:val="00AC0DD4"/>
    <w:rsid w:val="00B171D4"/>
    <w:rsid w:val="00B55A81"/>
    <w:rsid w:val="00BE3502"/>
    <w:rsid w:val="00BE3D8E"/>
    <w:rsid w:val="00C038D7"/>
    <w:rsid w:val="00C061A7"/>
    <w:rsid w:val="00C97857"/>
    <w:rsid w:val="00CF58BF"/>
    <w:rsid w:val="00D33E52"/>
    <w:rsid w:val="00D45CDA"/>
    <w:rsid w:val="00D51CA7"/>
    <w:rsid w:val="00DD4F81"/>
    <w:rsid w:val="00E51C27"/>
    <w:rsid w:val="00EA65FE"/>
    <w:rsid w:val="00EE7288"/>
    <w:rsid w:val="00F959A1"/>
    <w:rsid w:val="00FF1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1CDD"/>
  <w15:docId w15:val="{5D2DE6F1-58C5-464D-968D-5979C34B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1A2"/>
  </w:style>
  <w:style w:type="paragraph" w:styleId="Heading1">
    <w:name w:val="heading 1"/>
    <w:basedOn w:val="Normal"/>
    <w:next w:val="Normal"/>
    <w:link w:val="Heading1Char"/>
    <w:uiPriority w:val="9"/>
    <w:qFormat/>
    <w:rsid w:val="002721A2"/>
    <w:pPr>
      <w:keepNext/>
      <w:jc w:val="center"/>
      <w:outlineLvl w:val="0"/>
    </w:pPr>
    <w:rPr>
      <w:rFonts w:ascii="VNI-Times" w:hAnsi="VNI-Times"/>
      <w:b/>
      <w:sz w:val="24"/>
      <w:szCs w:val="20"/>
    </w:rPr>
  </w:style>
  <w:style w:type="paragraph" w:styleId="Heading2">
    <w:name w:val="heading 2"/>
    <w:basedOn w:val="Normal"/>
    <w:next w:val="Normal"/>
    <w:link w:val="Heading2Char"/>
    <w:uiPriority w:val="9"/>
    <w:unhideWhenUsed/>
    <w:qFormat/>
    <w:rsid w:val="002721A2"/>
    <w:pPr>
      <w:keepNext/>
      <w:jc w:val="center"/>
      <w:outlineLvl w:val="1"/>
    </w:pPr>
    <w:rPr>
      <w:rFonts w:ascii="VNI-Times" w:hAnsi="VNI-Times"/>
      <w:sz w:val="24"/>
      <w:szCs w:val="20"/>
    </w:rPr>
  </w:style>
  <w:style w:type="paragraph" w:styleId="Heading3">
    <w:name w:val="heading 3"/>
    <w:basedOn w:val="Normal"/>
    <w:next w:val="Normal"/>
    <w:link w:val="Heading3Char"/>
    <w:uiPriority w:val="9"/>
    <w:unhideWhenUsed/>
    <w:qFormat/>
    <w:rsid w:val="002721A2"/>
    <w:pPr>
      <w:keepNext/>
      <w:jc w:val="right"/>
      <w:outlineLvl w:val="2"/>
    </w:pPr>
    <w:rPr>
      <w:rFonts w:ascii="VNI-Times" w:hAnsi="VNI-Times"/>
      <w:i/>
      <w:sz w:val="24"/>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link w:val="Heading9Char"/>
    <w:qFormat/>
    <w:rsid w:val="002721A2"/>
    <w:pPr>
      <w:keepNext/>
      <w:jc w:val="center"/>
      <w:outlineLvl w:val="8"/>
    </w:pPr>
    <w:rPr>
      <w:rFonts w:ascii="VNI-Times" w:hAnsi="VNI-Times"/>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2721A2"/>
    <w:rPr>
      <w:rFonts w:ascii="VNI-Times" w:eastAsia="Times New Roman" w:hAnsi="VNI-Times" w:cs="Times New Roman"/>
      <w:b/>
      <w:sz w:val="24"/>
      <w:szCs w:val="20"/>
    </w:rPr>
  </w:style>
  <w:style w:type="character" w:customStyle="1" w:styleId="Heading2Char">
    <w:name w:val="Heading 2 Char"/>
    <w:basedOn w:val="DefaultParagraphFont"/>
    <w:link w:val="Heading2"/>
    <w:rsid w:val="002721A2"/>
    <w:rPr>
      <w:rFonts w:ascii="VNI-Times" w:eastAsia="Times New Roman" w:hAnsi="VNI-Times" w:cs="Times New Roman"/>
      <w:sz w:val="24"/>
      <w:szCs w:val="20"/>
    </w:rPr>
  </w:style>
  <w:style w:type="character" w:customStyle="1" w:styleId="Heading3Char">
    <w:name w:val="Heading 3 Char"/>
    <w:basedOn w:val="DefaultParagraphFont"/>
    <w:link w:val="Heading3"/>
    <w:rsid w:val="002721A2"/>
    <w:rPr>
      <w:rFonts w:ascii="VNI-Times" w:eastAsia="Times New Roman" w:hAnsi="VNI-Times" w:cs="Times New Roman"/>
      <w:i/>
      <w:sz w:val="24"/>
      <w:szCs w:val="20"/>
    </w:rPr>
  </w:style>
  <w:style w:type="character" w:customStyle="1" w:styleId="Heading9Char">
    <w:name w:val="Heading 9 Char"/>
    <w:basedOn w:val="DefaultParagraphFont"/>
    <w:link w:val="Heading9"/>
    <w:rsid w:val="002721A2"/>
    <w:rPr>
      <w:rFonts w:ascii="VNI-Times" w:eastAsia="Times New Roman" w:hAnsi="VNI-Times" w:cs="Times New Roman"/>
      <w:b/>
      <w:sz w:val="26"/>
      <w:szCs w:val="20"/>
    </w:rPr>
  </w:style>
  <w:style w:type="paragraph" w:styleId="BodyText2">
    <w:name w:val="Body Text 2"/>
    <w:basedOn w:val="Normal"/>
    <w:link w:val="BodyText2Char"/>
    <w:uiPriority w:val="99"/>
    <w:unhideWhenUsed/>
    <w:rsid w:val="002721A2"/>
    <w:pPr>
      <w:spacing w:after="120" w:line="480" w:lineRule="auto"/>
    </w:pPr>
  </w:style>
  <w:style w:type="character" w:customStyle="1" w:styleId="BodyText2Char">
    <w:name w:val="Body Text 2 Char"/>
    <w:basedOn w:val="DefaultParagraphFont"/>
    <w:link w:val="BodyText2"/>
    <w:uiPriority w:val="99"/>
    <w:rsid w:val="002721A2"/>
    <w:rPr>
      <w:rFonts w:ascii="Times New Roman" w:eastAsia="Times New Roman" w:hAnsi="Times New Roman" w:cs="Times New Roman"/>
      <w:sz w:val="28"/>
      <w:szCs w:val="28"/>
    </w:rPr>
  </w:style>
  <w:style w:type="paragraph" w:styleId="NormalWeb">
    <w:name w:val="Normal (Web)"/>
    <w:basedOn w:val="Normal"/>
    <w:link w:val="NormalWebChar"/>
    <w:unhideWhenUsed/>
    <w:rsid w:val="002721A2"/>
    <w:pPr>
      <w:spacing w:before="100" w:beforeAutospacing="1" w:after="100" w:afterAutospacing="1"/>
    </w:pPr>
    <w:rPr>
      <w:sz w:val="24"/>
      <w:szCs w:val="24"/>
    </w:rPr>
  </w:style>
  <w:style w:type="paragraph" w:styleId="Footer">
    <w:name w:val="footer"/>
    <w:basedOn w:val="Normal"/>
    <w:link w:val="FooterChar"/>
    <w:uiPriority w:val="99"/>
    <w:unhideWhenUsed/>
    <w:rsid w:val="002721A2"/>
    <w:pPr>
      <w:tabs>
        <w:tab w:val="center" w:pos="4680"/>
        <w:tab w:val="right" w:pos="9360"/>
      </w:tabs>
    </w:pPr>
  </w:style>
  <w:style w:type="character" w:customStyle="1" w:styleId="FooterChar">
    <w:name w:val="Footer Char"/>
    <w:basedOn w:val="DefaultParagraphFont"/>
    <w:link w:val="Footer"/>
    <w:uiPriority w:val="99"/>
    <w:rsid w:val="002721A2"/>
    <w:rPr>
      <w:rFonts w:ascii="Times New Roman" w:eastAsia="Times New Roman" w:hAnsi="Times New Roman" w:cs="Times New Roman"/>
      <w:sz w:val="28"/>
      <w:szCs w:val="28"/>
    </w:rPr>
  </w:style>
  <w:style w:type="paragraph" w:styleId="BodyText">
    <w:name w:val="Body Text"/>
    <w:basedOn w:val="Normal"/>
    <w:link w:val="BodyTextChar"/>
    <w:uiPriority w:val="99"/>
    <w:unhideWhenUsed/>
    <w:rsid w:val="00052444"/>
    <w:pPr>
      <w:spacing w:after="120"/>
    </w:pPr>
  </w:style>
  <w:style w:type="character" w:customStyle="1" w:styleId="BodyTextChar">
    <w:name w:val="Body Text Char"/>
    <w:basedOn w:val="DefaultParagraphFont"/>
    <w:link w:val="BodyText"/>
    <w:uiPriority w:val="99"/>
    <w:rsid w:val="00052444"/>
    <w:rPr>
      <w:rFonts w:ascii="Times New Roman" w:eastAsia="Times New Roman" w:hAnsi="Times New Roman" w:cs="Times New Roman"/>
      <w:sz w:val="28"/>
      <w:szCs w:val="28"/>
    </w:rPr>
  </w:style>
  <w:style w:type="paragraph" w:styleId="BodyTextIndent">
    <w:name w:val="Body Text Indent"/>
    <w:basedOn w:val="Normal"/>
    <w:link w:val="BodyTextIndentChar"/>
    <w:uiPriority w:val="99"/>
    <w:unhideWhenUsed/>
    <w:rsid w:val="003354A6"/>
    <w:pPr>
      <w:spacing w:after="120"/>
      <w:ind w:left="360"/>
    </w:pPr>
  </w:style>
  <w:style w:type="character" w:customStyle="1" w:styleId="BodyTextIndentChar">
    <w:name w:val="Body Text Indent Char"/>
    <w:basedOn w:val="DefaultParagraphFont"/>
    <w:link w:val="BodyTextIndent"/>
    <w:uiPriority w:val="99"/>
    <w:rsid w:val="003354A6"/>
    <w:rPr>
      <w:rFonts w:ascii="Times New Roman" w:eastAsia="Times New Roman" w:hAnsi="Times New Roman" w:cs="Times New Roman"/>
      <w:sz w:val="28"/>
      <w:szCs w:val="28"/>
    </w:rPr>
  </w:style>
  <w:style w:type="paragraph" w:styleId="ListParagraph">
    <w:name w:val="List Paragraph"/>
    <w:basedOn w:val="Normal"/>
    <w:link w:val="ListParagraphChar"/>
    <w:uiPriority w:val="1"/>
    <w:qFormat/>
    <w:rsid w:val="002976AD"/>
    <w:pPr>
      <w:ind w:left="720"/>
      <w:contextualSpacing/>
    </w:pPr>
  </w:style>
  <w:style w:type="paragraph" w:styleId="Header">
    <w:name w:val="header"/>
    <w:basedOn w:val="Normal"/>
    <w:link w:val="HeaderChar"/>
    <w:uiPriority w:val="99"/>
    <w:unhideWhenUsed/>
    <w:rsid w:val="0031766D"/>
    <w:pPr>
      <w:tabs>
        <w:tab w:val="center" w:pos="4680"/>
        <w:tab w:val="right" w:pos="9360"/>
      </w:tabs>
    </w:pPr>
  </w:style>
  <w:style w:type="character" w:customStyle="1" w:styleId="HeaderChar">
    <w:name w:val="Header Char"/>
    <w:basedOn w:val="DefaultParagraphFont"/>
    <w:link w:val="Header"/>
    <w:uiPriority w:val="99"/>
    <w:rsid w:val="0031766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9C3C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C08"/>
    <w:rPr>
      <w:rFonts w:ascii="Segoe UI" w:eastAsia="Times New Roman" w:hAnsi="Segoe UI" w:cs="Segoe UI"/>
      <w:sz w:val="18"/>
      <w:szCs w:val="18"/>
    </w:rPr>
  </w:style>
  <w:style w:type="character" w:customStyle="1" w:styleId="NormalWebChar">
    <w:name w:val="Normal (Web) Char"/>
    <w:link w:val="NormalWeb"/>
    <w:rsid w:val="001E3C5F"/>
    <w:rPr>
      <w:rFonts w:ascii="Times New Roman" w:eastAsia="Times New Roman" w:hAnsi="Times New Roman" w:cs="Times New Roman"/>
      <w:sz w:val="24"/>
      <w:szCs w:val="24"/>
    </w:rPr>
  </w:style>
  <w:style w:type="paragraph" w:customStyle="1" w:styleId="05NidungVB">
    <w:name w:val="05 Nội dung VB"/>
    <w:basedOn w:val="Normal"/>
    <w:link w:val="05NidungVBChar"/>
    <w:rsid w:val="001E3C5F"/>
    <w:pPr>
      <w:widowControl w:val="0"/>
      <w:spacing w:after="120" w:line="400" w:lineRule="atLeast"/>
      <w:ind w:firstLine="567"/>
      <w:jc w:val="both"/>
    </w:pPr>
    <w:rPr>
      <w:lang w:val="x-none" w:eastAsia="x-none"/>
    </w:rPr>
  </w:style>
  <w:style w:type="character" w:customStyle="1" w:styleId="05NidungVBChar">
    <w:name w:val="05 Nội dung VB Char"/>
    <w:link w:val="05NidungVB"/>
    <w:rsid w:val="001E3C5F"/>
    <w:rPr>
      <w:rFonts w:ascii="Times New Roman" w:eastAsia="Times New Roman" w:hAnsi="Times New Roman" w:cs="Times New Roman"/>
      <w:sz w:val="28"/>
      <w:szCs w:val="28"/>
      <w:lang w:val="x-none" w:eastAsia="x-none"/>
    </w:rPr>
  </w:style>
  <w:style w:type="paragraph" w:styleId="BodyTextIndent3">
    <w:name w:val="Body Text Indent 3"/>
    <w:basedOn w:val="Normal"/>
    <w:link w:val="BodyTextIndent3Char"/>
    <w:uiPriority w:val="99"/>
    <w:semiHidden/>
    <w:unhideWhenUsed/>
    <w:rsid w:val="0009699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9699F"/>
    <w:rPr>
      <w:rFonts w:ascii="Times New Roman" w:eastAsia="Times New Roman" w:hAnsi="Times New Roman" w:cs="Times New Roman"/>
      <w:sz w:val="16"/>
      <w:szCs w:val="16"/>
    </w:rPr>
  </w:style>
  <w:style w:type="paragraph" w:styleId="FootnoteText">
    <w:name w:val="footnote text"/>
    <w:basedOn w:val="Normal"/>
    <w:link w:val="FootnoteTextChar"/>
    <w:rsid w:val="004460A9"/>
    <w:rPr>
      <w:sz w:val="20"/>
      <w:szCs w:val="20"/>
    </w:rPr>
  </w:style>
  <w:style w:type="character" w:customStyle="1" w:styleId="FootnoteTextChar">
    <w:name w:val="Footnote Text Char"/>
    <w:basedOn w:val="DefaultParagraphFont"/>
    <w:link w:val="FootnoteText"/>
    <w:rsid w:val="004460A9"/>
    <w:rPr>
      <w:rFonts w:ascii="Times New Roman" w:eastAsia="Times New Roman" w:hAnsi="Times New Roman" w:cs="Times New Roman"/>
      <w:sz w:val="20"/>
      <w:szCs w:val="20"/>
    </w:rPr>
  </w:style>
  <w:style w:type="character" w:styleId="FootnoteReference">
    <w:name w:val="footnote reference"/>
    <w:rsid w:val="004460A9"/>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CommentSubjectChar">
    <w:name w:val="Comment Subject Char"/>
    <w:rsid w:val="00883E48"/>
    <w:rPr>
      <w:b/>
      <w:bCs/>
      <w:w w:val="100"/>
      <w:position w:val="-1"/>
      <w:effect w:val="none"/>
      <w:vertAlign w:val="baseline"/>
      <w:cs w:val="0"/>
      <w:em w:val="none"/>
    </w:rPr>
  </w:style>
  <w:style w:type="character" w:customStyle="1" w:styleId="ListParagraphChar">
    <w:name w:val="List Paragraph Char"/>
    <w:link w:val="ListParagraph"/>
    <w:uiPriority w:val="1"/>
    <w:rsid w:val="000C4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IhWE2iHt0+FAezAPIGKXY6Plag==">AMUW2mXd9j80hrF1eY+Yn1bO9zWgY4wm9RpOUWnfvIETIHB57O+fDK2ODogc6fgN8K2bJus3vg5XJJVse4f7MZNJdlekclPGP7saSg+CYoETeDxEPIiPYBnfj3GtOGn9M3MBOvt5+3rDf+pV+ZVPrqYRyjkNspMEBQ==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1CFA5C-556C-4BE4-97A8-C375FA45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 Thi Khanh Linh</cp:lastModifiedBy>
  <cp:revision>111</cp:revision>
  <dcterms:created xsi:type="dcterms:W3CDTF">2022-06-06T04:04:00Z</dcterms:created>
  <dcterms:modified xsi:type="dcterms:W3CDTF">2024-06-24T08:23:00Z</dcterms:modified>
</cp:coreProperties>
</file>